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av-20260801x10q.htm"/>
        <w:bookmarkStart w:id="1" w:name="ksavav2026080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ff64c7c8_476e_4bf2_a8d6_de79edc80835"/>
      <w:bookmarkEnd w:id="2"/>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August 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001-33261</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AEROVIRONMENT,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r8UCVefMt0i8GEDQGgrPLg_5_2"/>
      <w:bookmarkStart w:id="4" w:name="Tc_-Omi6Xv56USKfcoEDS3IiA_5_0"/>
      <w:bookmarkStart w:id="5" w:name="Tc_YB5rC5j9AE-trNmd4-YdTw_4_0"/>
      <w:bookmarkStart w:id="6" w:name="Tc_Scgmgvta6kCNG8ynddHDZw_1_2"/>
      <w:bookmarkStart w:id="7" w:name="Tc_MTtphMILUUavWBpZsjun2w_1_0"/>
      <w:bookmarkStart w:id="8" w:name="_0da2ba65_ce46_466f_9a7c_fe11cc952954"/>
      <w:bookmarkStart w:id="9" w:name="Tc_r8UCVefMt0i8GEDQGgrPLg_5_2"/>
      <w:bookmarkStart w:id="10" w:name="Tc_-Omi6Xv56USKfcoEDS3IiA_5_0"/>
      <w:bookmarkStart w:id="11" w:name="Tc_YB5rC5j9AE-trNmd4-YdTw_4_0"/>
      <w:bookmarkStart w:id="12" w:name="Tc_Scgmgvta6kCNG8ynddHDZw_1_2"/>
      <w:bookmarkStart w:id="13" w:name="Tc_MTtphMILUUavWBpZsjun2w_1_0"/>
      <w:bookmarkStart w:id="14" w:name="_0da2ba65_ce46_466f_9a7c_fe11cc952954"/>
      <w:bookmarkEnd w:id="9"/>
      <w:bookmarkEnd w:id="10"/>
      <w:bookmarkEnd w:id="11"/>
      <w:bookmarkEnd w:id="12"/>
      <w:bookmarkEnd w:id="13"/>
      <w:bookmarkEnd w:id="14"/>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95-2705790</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241 18</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Street South, Suite 650</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pPr>
            <w:r>
              <w:rPr/>
              <w:t>​</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Arlington, Virginia</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22202</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(805) 520-8350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IWcr9a_ni0CU8cGoCy9AxQ_2_3"/>
      <w:bookmarkStart w:id="16" w:name="Tc_H1oaBx8j6E2CWJZmBxdOzQ_1_3"/>
      <w:bookmarkStart w:id="17" w:name="Tc_-BqAWg7Fn0KG8Ac0w5hQQw_1_2"/>
      <w:bookmarkStart w:id="18" w:name="Tc_ndBO9AKxoEuhlNm58QW1dg_1_0"/>
      <w:bookmarkStart w:id="19" w:name="_0d8fa6c5_1bd0_42d6_ae6f_ef000b8afd02"/>
      <w:bookmarkStart w:id="20" w:name="Tc_IWcr9a_ni0CU8cGoCy9AxQ_2_3"/>
      <w:bookmarkStart w:id="21" w:name="Tc_H1oaBx8j6E2CWJZmBxdOzQ_1_3"/>
      <w:bookmarkStart w:id="22" w:name="Tc_-BqAWg7Fn0KG8Ac0w5hQQw_1_2"/>
      <w:bookmarkStart w:id="23" w:name="Tc_ndBO9AKxoEuhlNm58QW1dg_1_0"/>
      <w:bookmarkStart w:id="24" w:name="_0d8fa6c5_1bd0_42d6_ae6f_ef000b8afd02"/>
      <w:bookmarkEnd w:id="20"/>
      <w:bookmarkEnd w:id="21"/>
      <w:bookmarkEnd w:id="22"/>
      <w:bookmarkEnd w:id="23"/>
      <w:bookmarkEnd w:id="24"/>
    </w:p>
    <w:tbl>
      <w:tblPr>
        <w:tblW w:w="6322" w:type="dxa"/>
        <w:jc w:val="left"/>
        <w:tblInd w:w="0" w:type="dxa"/>
        <w:tblLayout w:type="fixed"/>
        <w:tblCellMar>
          <w:top w:w="0" w:type="dxa"/>
          <w:left w:w="0" w:type="dxa"/>
          <w:bottom w:w="0" w:type="dxa"/>
          <w:right w:w="0" w:type="dxa"/>
        </w:tblCellMar>
      </w:tblPr>
      <w:tblGrid>
        <w:gridCol w:w="2731"/>
        <w:gridCol w:w="109"/>
        <w:gridCol w:w="1051"/>
        <w:gridCol w:w="243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34185" cy="29210"/>
                      <wp:effectExtent l="0" t="0" r="0" b="0"/>
                      <wp:wrapNone/>
                      <wp:docPr id="1" name="Frame1"/>
                      <a:graphic xmlns:a="http://schemas.openxmlformats.org/drawingml/2006/main">
                        <a:graphicData uri="http://schemas.microsoft.com/office/word/2010/wordprocessingShape">
                          <wps:wsp>
                            <wps:cNvSpPr txBox="1"/>
                            <wps:spPr>
                              <a:xfrm>
                                <a:off x="0" y="0"/>
                                <a:ext cx="1734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43685" cy="29210"/>
                      <wp:effectExtent l="0" t="0" r="0" b="0"/>
                      <wp:wrapNone/>
                      <wp:docPr id="2" name="Frame2"/>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24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par value $0.0001 per share</w:t>
            </w:r>
          </w:p>
        </w:tc>
        <w:tc>
          <w:tcPr>
            <w:tcW w:w="109" w:type="dxa"/>
            <w:tcBorders/>
            <w:vAlign w:val="center"/>
          </w:tcPr>
          <w:p>
            <w:pPr>
              <w:pStyle w:val="TableContents"/>
              <w:bidi w:val="0"/>
              <w:spacing w:before="0" w:after="0"/>
              <w:ind w:left="0" w:right="0" w:hanging="0"/>
              <w:jc w:val="center"/>
              <w:rPr/>
            </w:pPr>
            <w:r>
              <w:rPr/>
              <w:t>​</w:t>
            </w:r>
          </w:p>
        </w:tc>
        <w:tc>
          <w:tcPr>
            <w:tcW w:w="10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AVAV</w:t>
            </w:r>
          </w:p>
        </w:tc>
        <w:tc>
          <w:tcPr>
            <w:tcW w:w="24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The NASDAQ</w:t>
            </w:r>
            <w:r>
              <w:rPr>
                <w:rFonts w:ascii="Times New Roman;Times;serif" w:hAnsi="Times New Roman;Times;serif"/>
                <w:sz w:val="20"/>
              </w:rPr>
              <w:t xml:space="preserve"> </w:t>
            </w:r>
            <w:r>
              <w:rPr>
                <w:rFonts w:ascii="Times New Roman;Times;serif" w:hAnsi="Times New Roman;Times;serif"/>
                <w:b/>
                <w:sz w:val="14"/>
              </w:rPr>
              <w:t>Stock Market LLC</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96" w:type="dxa"/>
        <w:jc w:val="left"/>
        <w:tblInd w:w="0" w:type="dxa"/>
        <w:tblLayout w:type="fixed"/>
        <w:tblCellMar>
          <w:top w:w="0" w:type="dxa"/>
          <w:left w:w="0" w:type="dxa"/>
          <w:bottom w:w="0" w:type="dxa"/>
          <w:right w:w="0" w:type="dxa"/>
        </w:tblCellMar>
      </w:tblPr>
      <w:tblGrid>
        <w:gridCol w:w="1891"/>
        <w:gridCol w:w="109"/>
        <w:gridCol w:w="2296"/>
      </w:tblGrid>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pPr>
            <w:r>
              <w:rPr/>
              <w:t>​</w:t>
            </w:r>
          </w:p>
        </w:tc>
      </w:tr>
      <w:tr>
        <w:trPr/>
        <w:tc>
          <w:tcPr>
            <w:tcW w:w="18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pPr>
            <w:r>
              <w:rPr/>
              <w:t>​</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As of September 3, 2026, the number of shares outstanding of the registrant’s common stock, $0.0001 par value, was 50,820,702.</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_ffcce9b2_239c_412c_b141_303593eca942"/>
      <w:bookmarkEnd w:id="25"/>
      <w:r>
        <w:rPr>
          <w:rFonts w:ascii="Times New Roman;Times;serif" w:hAnsi="Times New Roman;Times;serif"/>
          <w:b/>
          <w:sz w:val="20"/>
        </w:rPr>
        <w:t>AeroVironment,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92"/>
        <w:gridCol w:w="8805"/>
        <w:gridCol w:w="346"/>
        <w:gridCol w:w="362"/>
      </w:tblGrid>
      <w:tr>
        <w:trPr/>
        <w:tc>
          <w:tcPr>
            <w:tcW w:w="692" w:type="dxa"/>
            <w:tcBorders/>
            <w:vAlign w:val="center"/>
          </w:tcPr>
          <w:p>
            <w:pPr>
              <w:pStyle w:val="TableContents"/>
              <w:bidi w:val="0"/>
              <w:spacing w:before="0" w:after="40"/>
              <w:ind w:left="0" w:right="0" w:hanging="0"/>
              <w:jc w:val="left"/>
              <w:rPr/>
            </w:pPr>
            <w:hyperlink w:anchor="ITEM1FINANCIALSTATEMENTS_601539">
              <w:r>
                <w:rPr>
                  <w:rStyle w:val="InternetLink"/>
                  <w:rFonts w:ascii="Times New Roman;Times;serif" w:hAnsi="Times New Roman;Times;serif"/>
                  <w:b w:val="false"/>
                  <w:i w:val="false"/>
                  <w:caps w:val="false"/>
                  <w:smallCaps w:val="false"/>
                  <w:sz w:val="20"/>
                </w:rPr>
                <w:t>Item 1.</w:t>
              </w:r>
            </w:hyperlink>
          </w:p>
        </w:tc>
        <w:tc>
          <w:tcPr>
            <w:tcW w:w="8805" w:type="dxa"/>
            <w:tcBorders/>
            <w:vAlign w:val="center"/>
          </w:tcPr>
          <w:p>
            <w:pPr>
              <w:pStyle w:val="TableContents"/>
              <w:bidi w:val="0"/>
              <w:spacing w:before="0" w:after="40"/>
              <w:ind w:left="0" w:right="0" w:hanging="0"/>
              <w:jc w:val="left"/>
              <w:rPr/>
            </w:pPr>
            <w:hyperlink w:anchor="ITEM1FINANCIALSTATEMENTS_601539">
              <w:r>
                <w:rPr>
                  <w:rStyle w:val="InternetLink"/>
                  <w:rFonts w:ascii="Times New Roman;Times;serif" w:hAnsi="Times New Roman;Times;serif"/>
                  <w:b w:val="false"/>
                  <w:i w:val="false"/>
                  <w:caps w:val="false"/>
                  <w:smallCaps w:val="false"/>
                  <w:sz w:val="20"/>
                </w:rPr>
                <w:t>Financial Statements:</w:t>
              </w:r>
            </w:hyperlink>
          </w:p>
        </w:tc>
        <w:tc>
          <w:tcPr>
            <w:tcW w:w="346" w:type="dxa"/>
            <w:tcBorders/>
            <w:vAlign w:val="center"/>
          </w:tcPr>
          <w:p>
            <w:pPr>
              <w:pStyle w:val="TableContents"/>
              <w:bidi w:val="0"/>
              <w:spacing w:before="0" w:after="40"/>
              <w:ind w:left="0" w:right="0" w:hanging="0"/>
              <w:jc w:val="left"/>
              <w:rPr/>
            </w:pPr>
            <w:r>
              <w:rPr/>
              <w:t>  ​ ​ ​</w:t>
            </w:r>
          </w:p>
        </w:tc>
        <w:tc>
          <w:tcPr>
            <w:tcW w:w="362" w:type="dxa"/>
            <w:tcBorders/>
            <w:vAlign w:val="center"/>
          </w:tcPr>
          <w:p>
            <w:pPr>
              <w:pStyle w:val="TableContents"/>
              <w:bidi w:val="0"/>
              <w:spacing w:before="0" w:after="40"/>
              <w:ind w:left="0" w:right="0" w:hanging="0"/>
              <w:jc w:val="right"/>
              <w:rPr/>
            </w:pPr>
            <w:r>
              <w:rPr/>
              <w:t>​</w:t>
            </w:r>
          </w:p>
        </w:tc>
      </w:tr>
      <w:tr>
        <w:trPr/>
        <w:tc>
          <w:tcPr>
            <w:tcW w:w="692" w:type="dxa"/>
            <w:tcBorders/>
            <w:vAlign w:val="center"/>
          </w:tcPr>
          <w:p>
            <w:pPr>
              <w:pStyle w:val="TableContents"/>
              <w:bidi w:val="0"/>
              <w:spacing w:before="0" w:after="40"/>
              <w:ind w:left="0" w:right="0" w:hanging="0"/>
              <w:jc w:val="left"/>
              <w:rPr/>
            </w:pPr>
            <w:r>
              <w:rPr/>
              <w:t>​</w:t>
            </w:r>
          </w:p>
        </w:tc>
        <w:tc>
          <w:tcPr>
            <w:tcW w:w="8805" w:type="dxa"/>
            <w:tcBorders/>
            <w:vAlign w:val="center"/>
          </w:tcPr>
          <w:p>
            <w:pPr>
              <w:pStyle w:val="TableContents"/>
              <w:pBdr/>
              <w:bidi w:val="0"/>
              <w:spacing w:before="0" w:after="40"/>
              <w:ind w:left="0" w:right="0" w:hanging="0"/>
              <w:jc w:val="left"/>
              <w:rPr/>
            </w:pPr>
            <w:hyperlink w:anchor="BalanceSheets_59163">
              <w:r>
                <w:rPr>
                  <w:rStyle w:val="InternetLink"/>
                  <w:rFonts w:ascii="Times New Roman;Times;serif" w:hAnsi="Times New Roman;Times;serif"/>
                  <w:b w:val="false"/>
                  <w:i w:val="false"/>
                  <w:caps w:val="false"/>
                  <w:smallCaps w:val="false"/>
                  <w:sz w:val="20"/>
                </w:rPr>
                <w:t>Condensed Consolidated Balance Sheets as of August 1, 2026 (Unaudited) and April 30, 2026</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92" w:type="dxa"/>
            <w:tcBorders/>
            <w:vAlign w:val="center"/>
          </w:tcPr>
          <w:p>
            <w:pPr>
              <w:pStyle w:val="TableContents"/>
              <w:bidi w:val="0"/>
              <w:spacing w:before="0" w:after="40"/>
              <w:ind w:left="0" w:right="0" w:hanging="0"/>
              <w:jc w:val="left"/>
              <w:rPr/>
            </w:pPr>
            <w:r>
              <w:rPr/>
              <w:t>​</w:t>
            </w:r>
          </w:p>
        </w:tc>
        <w:tc>
          <w:tcPr>
            <w:tcW w:w="8805" w:type="dxa"/>
            <w:tcBorders/>
            <w:vAlign w:val="center"/>
          </w:tcPr>
          <w:p>
            <w:pPr>
              <w:pStyle w:val="TableContents"/>
              <w:pBdr/>
              <w:bidi w:val="0"/>
              <w:spacing w:before="0" w:after="40"/>
              <w:ind w:left="0" w:right="0" w:hanging="0"/>
              <w:jc w:val="left"/>
              <w:rPr/>
            </w:pPr>
            <w:hyperlink w:anchor="StatementsofOperations_883541">
              <w:r>
                <w:rPr>
                  <w:rStyle w:val="InternetLink"/>
                  <w:rFonts w:ascii="Times New Roman;Times;serif" w:hAnsi="Times New Roman;Times;serif"/>
                  <w:b w:val="false"/>
                  <w:i w:val="false"/>
                  <w:caps w:val="false"/>
                  <w:smallCaps w:val="false"/>
                  <w:sz w:val="20"/>
                </w:rPr>
                <w:t>Condensed Consolidated Statements of Operations for the three months ended August 1, 2026 (Unaudited) and August 2, 2025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92" w:type="dxa"/>
            <w:tcBorders/>
            <w:vAlign w:val="center"/>
          </w:tcPr>
          <w:p>
            <w:pPr>
              <w:pStyle w:val="TableContents"/>
              <w:bidi w:val="0"/>
              <w:spacing w:before="0" w:after="40"/>
              <w:ind w:left="0" w:right="0" w:hanging="0"/>
              <w:jc w:val="left"/>
              <w:rPr/>
            </w:pPr>
            <w:r>
              <w:rPr/>
              <w:t>​</w:t>
            </w:r>
          </w:p>
        </w:tc>
        <w:tc>
          <w:tcPr>
            <w:tcW w:w="8805" w:type="dxa"/>
            <w:tcBorders/>
            <w:vAlign w:val="center"/>
          </w:tcPr>
          <w:p>
            <w:pPr>
              <w:pStyle w:val="TableContents"/>
              <w:pBdr/>
              <w:bidi w:val="0"/>
              <w:spacing w:before="0" w:after="40"/>
              <w:ind w:left="0" w:right="0" w:hanging="0"/>
              <w:jc w:val="left"/>
              <w:rPr/>
            </w:pPr>
            <w:hyperlink w:anchor="LossIncomeUnaudited_152279">
              <w:r>
                <w:rPr>
                  <w:rStyle w:val="InternetLink"/>
                  <w:rFonts w:ascii="Times New Roman;Times;serif" w:hAnsi="Times New Roman;Times;serif"/>
                  <w:b w:val="false"/>
                  <w:i w:val="false"/>
                  <w:caps w:val="false"/>
                  <w:smallCaps w:val="false"/>
                  <w:sz w:val="20"/>
                </w:rPr>
                <w:t>Condensed Consolidated Statements of Comprehensive (Loss) Income for the three months ended August 1, 2026 (Unaudited) and August 2, 2025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92" w:type="dxa"/>
            <w:tcBorders/>
            <w:vAlign w:val="center"/>
          </w:tcPr>
          <w:p>
            <w:pPr>
              <w:pStyle w:val="TableContents"/>
              <w:bidi w:val="0"/>
              <w:spacing w:before="0" w:after="40"/>
              <w:ind w:left="0" w:right="0" w:hanging="0"/>
              <w:jc w:val="left"/>
              <w:rPr/>
            </w:pPr>
            <w:r>
              <w:rPr/>
              <w:t>​</w:t>
            </w:r>
          </w:p>
        </w:tc>
        <w:tc>
          <w:tcPr>
            <w:tcW w:w="8805" w:type="dxa"/>
            <w:tcBorders/>
            <w:vAlign w:val="center"/>
          </w:tcPr>
          <w:p>
            <w:pPr>
              <w:pStyle w:val="TableContents"/>
              <w:pBdr/>
              <w:bidi w:val="0"/>
              <w:spacing w:before="0" w:after="40"/>
              <w:ind w:left="0" w:right="0" w:hanging="0"/>
              <w:jc w:val="left"/>
              <w:rPr/>
            </w:pPr>
            <w:hyperlink w:anchor="Equity_493049">
              <w:r>
                <w:rPr>
                  <w:rStyle w:val="InternetLink"/>
                  <w:rFonts w:ascii="Times New Roman;Times;serif" w:hAnsi="Times New Roman;Times;serif"/>
                  <w:b w:val="false"/>
                  <w:i w:val="false"/>
                  <w:caps w:val="false"/>
                  <w:smallCaps w:val="false"/>
                  <w:sz w:val="20"/>
                </w:rPr>
                <w:t>Condensed Consolidated Statements of Stockholders’ Equity for the three months ended August 1, 2026 (Unaudited)</w:t>
              </w:r>
            </w:hyperlink>
            <w:hyperlink w:anchor="Equity_493049">
              <w:r>
                <w:rPr>
                  <w:rStyle w:val="InternetLink"/>
                  <w:rFonts w:ascii="Times New Roman;Times;serif" w:hAnsi="Times New Roman;Times;serif"/>
                  <w:caps w:val="false"/>
                  <w:smallCaps w:val="false"/>
                  <w:sz w:val="20"/>
                </w:rPr>
                <w:t xml:space="preserve"> </w:t>
              </w:r>
            </w:hyperlink>
            <w:hyperlink w:anchor="Equity_493049">
              <w:r>
                <w:rPr>
                  <w:rStyle w:val="InternetLink"/>
                  <w:rFonts w:ascii="Times New Roman;Times;serif" w:hAnsi="Times New Roman;Times;serif"/>
                  <w:b w:val="false"/>
                  <w:i w:val="false"/>
                  <w:caps w:val="false"/>
                  <w:smallCaps w:val="false"/>
                  <w:sz w:val="20"/>
                </w:rPr>
                <w:t>and August 2, 2025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92" w:type="dxa"/>
            <w:tcBorders/>
            <w:vAlign w:val="center"/>
          </w:tcPr>
          <w:p>
            <w:pPr>
              <w:pStyle w:val="TableContents"/>
              <w:bidi w:val="0"/>
              <w:spacing w:before="0" w:after="40"/>
              <w:ind w:left="0" w:right="0" w:hanging="0"/>
              <w:jc w:val="left"/>
              <w:rPr/>
            </w:pPr>
            <w:r>
              <w:rPr/>
              <w:t>​</w:t>
            </w:r>
          </w:p>
        </w:tc>
        <w:tc>
          <w:tcPr>
            <w:tcW w:w="8805" w:type="dxa"/>
            <w:tcBorders/>
            <w:vAlign w:val="center"/>
          </w:tcPr>
          <w:p>
            <w:pPr>
              <w:pStyle w:val="TableContents"/>
              <w:pBdr/>
              <w:bidi w:val="0"/>
              <w:spacing w:before="0" w:after="40"/>
              <w:ind w:left="0" w:right="0" w:hanging="0"/>
              <w:jc w:val="left"/>
              <w:rPr/>
            </w:pPr>
            <w:hyperlink w:anchor="ConsolidatedStatementsofCashFlows_209255">
              <w:r>
                <w:rPr>
                  <w:rStyle w:val="InternetLink"/>
                  <w:rFonts w:ascii="Times New Roman;Times;serif" w:hAnsi="Times New Roman;Times;serif"/>
                  <w:b w:val="false"/>
                  <w:i w:val="false"/>
                  <w:caps w:val="false"/>
                  <w:smallCaps w:val="false"/>
                  <w:sz w:val="20"/>
                </w:rPr>
                <w:t>Condensed Consolidated Statements of Cash Flows for the three months ended August 1, 2026 (Unaudited) and August 2, 2025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92" w:type="dxa"/>
            <w:tcBorders/>
            <w:vAlign w:val="center"/>
          </w:tcPr>
          <w:p>
            <w:pPr>
              <w:pStyle w:val="TableContents"/>
              <w:bidi w:val="0"/>
              <w:spacing w:before="0" w:after="40"/>
              <w:ind w:left="0" w:right="0" w:hanging="0"/>
              <w:jc w:val="left"/>
              <w:rPr/>
            </w:pPr>
            <w:r>
              <w:rPr/>
              <w:t>​</w:t>
            </w:r>
          </w:p>
        </w:tc>
        <w:tc>
          <w:tcPr>
            <w:tcW w:w="8805" w:type="dxa"/>
            <w:tcBorders/>
            <w:vAlign w:val="center"/>
          </w:tcPr>
          <w:p>
            <w:pPr>
              <w:pStyle w:val="TableContents"/>
              <w:bidi w:val="0"/>
              <w:spacing w:before="0" w:after="40"/>
              <w:ind w:left="0" w:right="0" w:hanging="0"/>
              <w:jc w:val="left"/>
              <w:rPr/>
            </w:pPr>
            <w:hyperlink w:anchor="NotestoConsolidatedFinancial_915262">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92" w:type="dxa"/>
            <w:tcBorders/>
            <w:vAlign w:val="center"/>
          </w:tcPr>
          <w:p>
            <w:pPr>
              <w:pStyle w:val="TableContents"/>
              <w:bidi w:val="0"/>
              <w:spacing w:before="0" w:after="40"/>
              <w:ind w:left="0" w:right="0" w:hanging="0"/>
              <w:jc w:val="left"/>
              <w:rPr/>
            </w:pPr>
            <w:hyperlink w:anchor="ITEM2_MANAGEMENTSDISCUSSIONANDAN_021218">
              <w:r>
                <w:rPr>
                  <w:rStyle w:val="InternetLink"/>
                  <w:rFonts w:ascii="Times New Roman;Times;serif" w:hAnsi="Times New Roman;Times;serif"/>
                  <w:b w:val="false"/>
                  <w:i w:val="false"/>
                  <w:caps w:val="false"/>
                  <w:smallCaps w:val="false"/>
                  <w:sz w:val="20"/>
                </w:rPr>
                <w:t>Item 2.</w:t>
              </w:r>
            </w:hyperlink>
          </w:p>
        </w:tc>
        <w:tc>
          <w:tcPr>
            <w:tcW w:w="8805" w:type="dxa"/>
            <w:tcBorders/>
            <w:vAlign w:val="center"/>
          </w:tcPr>
          <w:p>
            <w:pPr>
              <w:pStyle w:val="TableContents"/>
              <w:bidi w:val="0"/>
              <w:spacing w:before="0" w:after="40"/>
              <w:ind w:left="0" w:right="0" w:hanging="0"/>
              <w:jc w:val="left"/>
              <w:rPr/>
            </w:pPr>
            <w:hyperlink w:anchor="ITEM2_MANAGEMENTSDISCUSSIONANDAN_02121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692" w:type="dxa"/>
            <w:tcBorders/>
            <w:vAlign w:val="center"/>
          </w:tcPr>
          <w:p>
            <w:pPr>
              <w:pStyle w:val="TableContents"/>
              <w:bidi w:val="0"/>
              <w:spacing w:before="0" w:after="40"/>
              <w:ind w:left="0" w:right="0" w:hanging="0"/>
              <w:jc w:val="left"/>
              <w:rPr/>
            </w:pPr>
            <w:hyperlink w:anchor="ITEM3_QUANTITATIVEANDQUALITATIVE_021302">
              <w:r>
                <w:rPr>
                  <w:rStyle w:val="InternetLink"/>
                  <w:rFonts w:ascii="Times New Roman;Times;serif" w:hAnsi="Times New Roman;Times;serif"/>
                  <w:b w:val="false"/>
                  <w:i w:val="false"/>
                  <w:caps w:val="false"/>
                  <w:smallCaps w:val="false"/>
                  <w:sz w:val="20"/>
                </w:rPr>
                <w:t>Item 3.</w:t>
              </w:r>
            </w:hyperlink>
          </w:p>
        </w:tc>
        <w:tc>
          <w:tcPr>
            <w:tcW w:w="8805" w:type="dxa"/>
            <w:tcBorders/>
            <w:vAlign w:val="center"/>
          </w:tcPr>
          <w:p>
            <w:pPr>
              <w:pStyle w:val="TableContents"/>
              <w:bidi w:val="0"/>
              <w:spacing w:before="0" w:after="40"/>
              <w:ind w:left="0" w:right="0" w:hanging="0"/>
              <w:jc w:val="left"/>
              <w:rPr/>
            </w:pPr>
            <w:hyperlink w:anchor="ITEM3_QUANTITATIVEANDQUALITATIVE_0213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92" w:type="dxa"/>
            <w:tcBorders/>
            <w:vAlign w:val="center"/>
          </w:tcPr>
          <w:p>
            <w:pPr>
              <w:pStyle w:val="TableContents"/>
              <w:bidi w:val="0"/>
              <w:spacing w:before="0" w:after="40"/>
              <w:ind w:left="0" w:right="0" w:hanging="0"/>
              <w:jc w:val="left"/>
              <w:rPr/>
            </w:pPr>
            <w:hyperlink w:anchor="ITEM4CONTROLSANDPROCEDURES_613247">
              <w:r>
                <w:rPr>
                  <w:rStyle w:val="InternetLink"/>
                  <w:rFonts w:ascii="Times New Roman;Times;serif" w:hAnsi="Times New Roman;Times;serif"/>
                  <w:b w:val="false"/>
                  <w:i w:val="false"/>
                  <w:caps w:val="false"/>
                  <w:smallCaps w:val="false"/>
                  <w:sz w:val="20"/>
                </w:rPr>
                <w:t>Item 4.</w:t>
              </w:r>
            </w:hyperlink>
          </w:p>
        </w:tc>
        <w:tc>
          <w:tcPr>
            <w:tcW w:w="8805" w:type="dxa"/>
            <w:tcBorders/>
            <w:vAlign w:val="center"/>
          </w:tcPr>
          <w:p>
            <w:pPr>
              <w:pStyle w:val="TableContents"/>
              <w:bidi w:val="0"/>
              <w:spacing w:before="0" w:after="40"/>
              <w:ind w:left="0" w:right="0" w:hanging="0"/>
              <w:jc w:val="left"/>
              <w:rPr/>
            </w:pPr>
            <w:hyperlink w:anchor="ITEM4_CONTROLSANDPROCEDURES_021320">
              <w:r>
                <w:rPr>
                  <w:rStyle w:val="InternetLink"/>
                  <w:rFonts w:ascii="Times New Roman;Times;serif" w:hAnsi="Times New Roman;Times;serif"/>
                  <w:b w:val="false"/>
                  <w:i w:val="false"/>
                  <w:caps w:val="false"/>
                  <w:smallCaps w:val="false"/>
                  <w:sz w:val="20"/>
                </w:rPr>
                <w:t>Controls and Procedures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692" w:type="dxa"/>
            <w:tcBorders/>
            <w:vAlign w:val="center"/>
          </w:tcPr>
          <w:p>
            <w:pPr>
              <w:pStyle w:val="TableContents"/>
              <w:bidi w:val="0"/>
              <w:spacing w:before="0" w:after="0"/>
              <w:ind w:left="0" w:right="0" w:hanging="0"/>
              <w:jc w:val="left"/>
              <w:rPr/>
            </w:pPr>
            <w:r>
              <w:rPr/>
              <w:t>​</w:t>
            </w:r>
          </w:p>
        </w:tc>
        <w:tc>
          <w:tcPr>
            <w:tcW w:w="8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9497" w:type="dxa"/>
            <w:gridSpan w:val="2"/>
            <w:tcBorders/>
            <w:vAlign w:val="center"/>
          </w:tcPr>
          <w:p>
            <w:pPr>
              <w:pStyle w:val="TableContents"/>
              <w:bidi w:val="0"/>
              <w:spacing w:before="0" w:after="40"/>
              <w:ind w:left="0" w:right="0" w:hanging="0"/>
              <w:jc w:val="left"/>
              <w:rPr/>
            </w:pPr>
            <w:hyperlink w:anchor="PARTIIOTHERINFORMATION_857105">
              <w:r>
                <w:rPr>
                  <w:rStyle w:val="InternetLink"/>
                  <w:rFonts w:ascii="Times New Roman;Times;serif" w:hAnsi="Times New Roman;Times;serif"/>
                  <w:b/>
                  <w:i w:val="false"/>
                  <w:caps w:val="false"/>
                  <w:smallCaps w:val="false"/>
                  <w:sz w:val="20"/>
                </w:rPr>
                <w:t>PART II. OTHER INFORMATION</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pPr>
            <w:r>
              <w:rPr/>
              <w:t>​</w:t>
            </w:r>
          </w:p>
        </w:tc>
      </w:tr>
      <w:tr>
        <w:trPr/>
        <w:tc>
          <w:tcPr>
            <w:tcW w:w="692" w:type="dxa"/>
            <w:tcBorders/>
            <w:vAlign w:val="center"/>
          </w:tcPr>
          <w:p>
            <w:pPr>
              <w:pStyle w:val="TableContents"/>
              <w:bidi w:val="0"/>
              <w:spacing w:before="0" w:after="0"/>
              <w:ind w:left="0" w:right="0" w:hanging="0"/>
              <w:jc w:val="left"/>
              <w:rPr/>
            </w:pPr>
            <w:r>
              <w:rPr/>
              <w:t>​</w:t>
            </w:r>
          </w:p>
        </w:tc>
        <w:tc>
          <w:tcPr>
            <w:tcW w:w="880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pPr>
            <w:r>
              <w:rPr/>
              <w:t>​</w:t>
            </w:r>
          </w:p>
        </w:tc>
      </w:tr>
      <w:tr>
        <w:trPr/>
        <w:tc>
          <w:tcPr>
            <w:tcW w:w="692" w:type="dxa"/>
            <w:tcBorders/>
            <w:vAlign w:val="center"/>
          </w:tcPr>
          <w:p>
            <w:pPr>
              <w:pStyle w:val="TableContents"/>
              <w:bidi w:val="0"/>
              <w:spacing w:before="0" w:after="40"/>
              <w:ind w:left="0" w:right="0" w:hanging="0"/>
              <w:jc w:val="left"/>
              <w:rPr/>
            </w:pPr>
            <w:hyperlink w:anchor="ITEM1_LEGALPROCEEDINGS_030840">
              <w:r>
                <w:rPr>
                  <w:rStyle w:val="InternetLink"/>
                  <w:rFonts w:ascii="Times New Roman;Times;serif" w:hAnsi="Times New Roman;Times;serif"/>
                  <w:b w:val="false"/>
                  <w:i w:val="false"/>
                  <w:caps w:val="false"/>
                  <w:smallCaps w:val="false"/>
                  <w:sz w:val="20"/>
                </w:rPr>
                <w:t>Item 1.</w:t>
              </w:r>
            </w:hyperlink>
          </w:p>
        </w:tc>
        <w:tc>
          <w:tcPr>
            <w:tcW w:w="8805" w:type="dxa"/>
            <w:tcBorders/>
            <w:vAlign w:val="center"/>
          </w:tcPr>
          <w:p>
            <w:pPr>
              <w:pStyle w:val="TableContents"/>
              <w:bidi w:val="0"/>
              <w:spacing w:before="0" w:after="40"/>
              <w:ind w:left="0" w:right="0" w:hanging="0"/>
              <w:jc w:val="left"/>
              <w:rPr/>
            </w:pPr>
            <w:hyperlink w:anchor="ITEM1_LEGALPROCEEDINGS_030840">
              <w:r>
                <w:rPr>
                  <w:rStyle w:val="InternetLink"/>
                  <w:rFonts w:ascii="Times New Roman;Times;serif" w:hAnsi="Times New Roman;Times;serif"/>
                  <w:b w:val="false"/>
                  <w:i w:val="false"/>
                  <w:caps w:val="false"/>
                  <w:smallCaps w:val="false"/>
                  <w:sz w:val="20"/>
                </w:rPr>
                <w:t>Legal Proceedings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92" w:type="dxa"/>
            <w:tcBorders/>
            <w:vAlign w:val="center"/>
          </w:tcPr>
          <w:p>
            <w:pPr>
              <w:pStyle w:val="TableContents"/>
              <w:bidi w:val="0"/>
              <w:spacing w:before="0" w:after="40"/>
              <w:ind w:left="0" w:right="0" w:hanging="0"/>
              <w:jc w:val="left"/>
              <w:rPr/>
            </w:pPr>
            <w:hyperlink w:anchor="ITEM1A_RISKFACTORS_030841">
              <w:r>
                <w:rPr>
                  <w:rStyle w:val="InternetLink"/>
                  <w:rFonts w:ascii="Times New Roman;Times;serif" w:hAnsi="Times New Roman;Times;serif"/>
                  <w:b w:val="false"/>
                  <w:i w:val="false"/>
                  <w:caps w:val="false"/>
                  <w:smallCaps w:val="false"/>
                  <w:sz w:val="20"/>
                </w:rPr>
                <w:t>Item 1A.</w:t>
              </w:r>
            </w:hyperlink>
          </w:p>
        </w:tc>
        <w:tc>
          <w:tcPr>
            <w:tcW w:w="8805" w:type="dxa"/>
            <w:tcBorders/>
            <w:vAlign w:val="center"/>
          </w:tcPr>
          <w:p>
            <w:pPr>
              <w:pStyle w:val="TableContents"/>
              <w:bidi w:val="0"/>
              <w:spacing w:before="0" w:after="40"/>
              <w:ind w:left="0" w:right="0" w:hanging="0"/>
              <w:jc w:val="left"/>
              <w:rPr/>
            </w:pPr>
            <w:hyperlink w:anchor="ITEM1A_RISKFACTORS_030841">
              <w:r>
                <w:rPr>
                  <w:rStyle w:val="InternetLink"/>
                  <w:rFonts w:ascii="Times New Roman;Times;serif" w:hAnsi="Times New Roman;Times;serif"/>
                  <w:b w:val="false"/>
                  <w:i w:val="false"/>
                  <w:caps w:val="false"/>
                  <w:smallCaps w:val="false"/>
                  <w:sz w:val="20"/>
                </w:rPr>
                <w:t>Risk Factors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2" w:type="dxa"/>
            <w:tcBorders/>
            <w:vAlign w:val="center"/>
          </w:tcPr>
          <w:p>
            <w:pPr>
              <w:pStyle w:val="TableContents"/>
              <w:bidi w:val="0"/>
              <w:spacing w:before="0" w:after="40"/>
              <w:ind w:left="0" w:right="0" w:hanging="0"/>
              <w:jc w:val="left"/>
              <w:rPr/>
            </w:pPr>
            <w:hyperlink w:anchor="ITEM2_UNREGISTEREDSALESOFEQUITYS_030842">
              <w:r>
                <w:rPr>
                  <w:rStyle w:val="InternetLink"/>
                  <w:rFonts w:ascii="Times New Roman;Times;serif" w:hAnsi="Times New Roman;Times;serif"/>
                  <w:b w:val="false"/>
                  <w:i w:val="false"/>
                  <w:caps w:val="false"/>
                  <w:smallCaps w:val="false"/>
                  <w:sz w:val="20"/>
                </w:rPr>
                <w:t>Item 2.</w:t>
              </w:r>
            </w:hyperlink>
          </w:p>
        </w:tc>
        <w:tc>
          <w:tcPr>
            <w:tcW w:w="8805" w:type="dxa"/>
            <w:tcBorders/>
            <w:vAlign w:val="center"/>
          </w:tcPr>
          <w:p>
            <w:pPr>
              <w:pStyle w:val="TableContents"/>
              <w:bidi w:val="0"/>
              <w:spacing w:before="0" w:after="40"/>
              <w:ind w:left="0" w:right="0" w:hanging="0"/>
              <w:jc w:val="left"/>
              <w:rPr/>
            </w:pPr>
            <w:hyperlink w:anchor="ITEM2_UNREGISTEREDSALESOFEQUITYS_030842">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2" w:type="dxa"/>
            <w:tcBorders/>
            <w:vAlign w:val="center"/>
          </w:tcPr>
          <w:p>
            <w:pPr>
              <w:pStyle w:val="TableContents"/>
              <w:bidi w:val="0"/>
              <w:spacing w:before="0" w:after="40"/>
              <w:ind w:left="0" w:right="0" w:hanging="0"/>
              <w:jc w:val="left"/>
              <w:rPr/>
            </w:pPr>
            <w:hyperlink w:anchor="ITEM3_DEFAULTSUPONSENIORSECURITI_030843">
              <w:r>
                <w:rPr>
                  <w:rStyle w:val="InternetLink"/>
                  <w:rFonts w:ascii="Times New Roman;Times;serif" w:hAnsi="Times New Roman;Times;serif"/>
                  <w:b w:val="false"/>
                  <w:i w:val="false"/>
                  <w:caps w:val="false"/>
                  <w:smallCaps w:val="false"/>
                  <w:sz w:val="20"/>
                </w:rPr>
                <w:t>Item 3.</w:t>
              </w:r>
            </w:hyperlink>
          </w:p>
        </w:tc>
        <w:tc>
          <w:tcPr>
            <w:tcW w:w="8805" w:type="dxa"/>
            <w:tcBorders/>
            <w:vAlign w:val="center"/>
          </w:tcPr>
          <w:p>
            <w:pPr>
              <w:pStyle w:val="TableContents"/>
              <w:bidi w:val="0"/>
              <w:spacing w:before="0" w:after="40"/>
              <w:ind w:left="0" w:right="0" w:hanging="0"/>
              <w:jc w:val="left"/>
              <w:rPr/>
            </w:pPr>
            <w:hyperlink w:anchor="ITEM3_DEFAULTSUPONSENIORSECURITI_030843">
              <w:r>
                <w:rPr>
                  <w:rStyle w:val="InternetLink"/>
                  <w:rFonts w:ascii="Times New Roman;Times;serif" w:hAnsi="Times New Roman;Times;serif"/>
                  <w:b w:val="false"/>
                  <w:i w:val="false"/>
                  <w:caps w:val="false"/>
                  <w:smallCaps w:val="false"/>
                  <w:sz w:val="20"/>
                </w:rPr>
                <w:t>Defaults Upon Senior Securities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2" w:type="dxa"/>
            <w:tcBorders/>
            <w:vAlign w:val="center"/>
          </w:tcPr>
          <w:p>
            <w:pPr>
              <w:pStyle w:val="TableContents"/>
              <w:bidi w:val="0"/>
              <w:spacing w:before="0" w:after="40"/>
              <w:ind w:left="0" w:right="0" w:hanging="0"/>
              <w:jc w:val="left"/>
              <w:rPr/>
            </w:pPr>
            <w:hyperlink w:anchor="ITEM4_MINESAFETYDISCLOSURES_030844">
              <w:r>
                <w:rPr>
                  <w:rStyle w:val="InternetLink"/>
                  <w:rFonts w:ascii="Times New Roman;Times;serif" w:hAnsi="Times New Roman;Times;serif"/>
                  <w:b w:val="false"/>
                  <w:i w:val="false"/>
                  <w:caps w:val="false"/>
                  <w:smallCaps w:val="false"/>
                  <w:sz w:val="20"/>
                </w:rPr>
                <w:t>Item 4.</w:t>
              </w:r>
            </w:hyperlink>
          </w:p>
        </w:tc>
        <w:tc>
          <w:tcPr>
            <w:tcW w:w="8805" w:type="dxa"/>
            <w:tcBorders/>
            <w:vAlign w:val="center"/>
          </w:tcPr>
          <w:p>
            <w:pPr>
              <w:pStyle w:val="TableContents"/>
              <w:bidi w:val="0"/>
              <w:spacing w:before="0" w:after="40"/>
              <w:ind w:left="0" w:right="0" w:hanging="0"/>
              <w:jc w:val="left"/>
              <w:rPr/>
            </w:pPr>
            <w:hyperlink w:anchor="ITEM4_MINESAFETYDISCLOSURES_030844">
              <w:r>
                <w:rPr>
                  <w:rStyle w:val="InternetLink"/>
                  <w:rFonts w:ascii="Times New Roman;Times;serif" w:hAnsi="Times New Roman;Times;serif"/>
                  <w:b w:val="false"/>
                  <w:i w:val="false"/>
                  <w:caps w:val="false"/>
                  <w:smallCaps w:val="false"/>
                  <w:sz w:val="20"/>
                </w:rPr>
                <w:t>Mine Safety Disclosures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2" w:type="dxa"/>
            <w:tcBorders/>
            <w:vAlign w:val="center"/>
          </w:tcPr>
          <w:p>
            <w:pPr>
              <w:pStyle w:val="TableContents"/>
              <w:bidi w:val="0"/>
              <w:spacing w:before="0" w:after="40"/>
              <w:ind w:left="0" w:right="0" w:hanging="0"/>
              <w:jc w:val="left"/>
              <w:rPr/>
            </w:pPr>
            <w:hyperlink w:anchor="ITEM5_OTHERINFORMATION_030845">
              <w:r>
                <w:rPr>
                  <w:rStyle w:val="InternetLink"/>
                  <w:rFonts w:ascii="Times New Roman;Times;serif" w:hAnsi="Times New Roman;Times;serif"/>
                  <w:b w:val="false"/>
                  <w:i w:val="false"/>
                  <w:caps w:val="false"/>
                  <w:smallCaps w:val="false"/>
                  <w:sz w:val="20"/>
                </w:rPr>
                <w:t>Item 5.</w:t>
              </w:r>
            </w:hyperlink>
          </w:p>
        </w:tc>
        <w:tc>
          <w:tcPr>
            <w:tcW w:w="8805" w:type="dxa"/>
            <w:tcBorders/>
            <w:vAlign w:val="center"/>
          </w:tcPr>
          <w:p>
            <w:pPr>
              <w:pStyle w:val="TableContents"/>
              <w:bidi w:val="0"/>
              <w:spacing w:before="0" w:after="40"/>
              <w:ind w:left="0" w:right="0" w:hanging="0"/>
              <w:jc w:val="left"/>
              <w:rPr/>
            </w:pPr>
            <w:hyperlink w:anchor="ITEM5_OTHERINFORMATION_030845">
              <w:r>
                <w:rPr>
                  <w:rStyle w:val="InternetLink"/>
                  <w:rFonts w:ascii="Times New Roman;Times;serif" w:hAnsi="Times New Roman;Times;serif"/>
                  <w:b w:val="false"/>
                  <w:i w:val="false"/>
                  <w:caps w:val="false"/>
                  <w:smallCaps w:val="false"/>
                  <w:sz w:val="20"/>
                </w:rPr>
                <w:t>Other Information</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92" w:type="dxa"/>
            <w:tcBorders/>
            <w:vAlign w:val="center"/>
          </w:tcPr>
          <w:p>
            <w:pPr>
              <w:pStyle w:val="TableContents"/>
              <w:bidi w:val="0"/>
              <w:spacing w:before="0" w:after="40"/>
              <w:ind w:left="0" w:right="0" w:hanging="0"/>
              <w:jc w:val="left"/>
              <w:rPr/>
            </w:pPr>
            <w:hyperlink w:anchor="ITEM6_EXHIBITS_030846">
              <w:r>
                <w:rPr>
                  <w:rStyle w:val="InternetLink"/>
                  <w:rFonts w:ascii="Times New Roman;Times;serif" w:hAnsi="Times New Roman;Times;serif"/>
                  <w:b w:val="false"/>
                  <w:i w:val="false"/>
                  <w:caps w:val="false"/>
                  <w:smallCaps w:val="false"/>
                  <w:sz w:val="20"/>
                </w:rPr>
                <w:t>Item 6.</w:t>
              </w:r>
            </w:hyperlink>
          </w:p>
        </w:tc>
        <w:tc>
          <w:tcPr>
            <w:tcW w:w="8805" w:type="dxa"/>
            <w:tcBorders/>
            <w:vAlign w:val="center"/>
          </w:tcPr>
          <w:p>
            <w:pPr>
              <w:pStyle w:val="TableContents"/>
              <w:bidi w:val="0"/>
              <w:spacing w:before="0" w:after="40"/>
              <w:ind w:left="0" w:right="0" w:hanging="0"/>
              <w:jc w:val="left"/>
              <w:rPr/>
            </w:pPr>
            <w:hyperlink w:anchor="ITEM6_EXHIBITS_030846">
              <w:r>
                <w:rPr>
                  <w:rStyle w:val="InternetLink"/>
                  <w:rFonts w:ascii="Times New Roman;Times;serif" w:hAnsi="Times New Roman;Times;serif"/>
                  <w:b w:val="false"/>
                  <w:i w:val="false"/>
                  <w:caps w:val="false"/>
                  <w:smallCaps w:val="false"/>
                  <w:sz w:val="20"/>
                </w:rPr>
                <w:t>Exhibits</w:t>
              </w:r>
            </w:hyperlink>
          </w:p>
        </w:tc>
        <w:tc>
          <w:tcPr>
            <w:tcW w:w="346" w:type="dxa"/>
            <w:tcBorders/>
            <w:vAlign w:val="center"/>
          </w:tcPr>
          <w:p>
            <w:pPr>
              <w:pStyle w:val="TableContents"/>
              <w:bidi w:val="0"/>
              <w:spacing w:before="0" w:after="40"/>
              <w:ind w:left="0" w:right="0" w:hanging="0"/>
              <w:jc w:val="left"/>
              <w:rPr/>
            </w:pPr>
            <w:r>
              <w:rPr/>
              <w:t>​</w:t>
            </w:r>
          </w:p>
        </w:tc>
        <w:tc>
          <w:tcPr>
            <w:tcW w:w="362" w:type="dxa"/>
            <w:tcBorders/>
            <w:vAlign w:val="center"/>
          </w:tcPr>
          <w:p>
            <w:pPr>
              <w:pStyle w:val="TableContents"/>
              <w:bidi w:val="0"/>
              <w:spacing w:before="0" w:after="4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9497" w:type="dxa"/>
            <w:gridSpan w:val="2"/>
            <w:tcBorders/>
            <w:vAlign w:val="center"/>
          </w:tcPr>
          <w:p>
            <w:pPr>
              <w:pStyle w:val="TableContents"/>
              <w:bidi w:val="0"/>
              <w:spacing w:before="0" w:after="0"/>
              <w:ind w:left="0" w:right="0" w:hanging="0"/>
              <w:jc w:val="left"/>
              <w:rPr/>
            </w:pPr>
            <w:hyperlink w:anchor="SIGNATURES_030848">
              <w:r>
                <w:rPr>
                  <w:rStyle w:val="InternetLink"/>
                  <w:rFonts w:ascii="Times New Roman;Times;serif" w:hAnsi="Times New Roman;Times;serif"/>
                  <w:b w:val="false"/>
                  <w:i w:val="false"/>
                  <w:caps w:val="false"/>
                  <w:smallCaps w:val="false"/>
                  <w:sz w:val="20"/>
                </w:rPr>
                <w:t>Signatures</w:t>
              </w:r>
            </w:hyperlink>
          </w:p>
        </w:tc>
        <w:tc>
          <w:tcPr>
            <w:tcW w:w="34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 w:name="PARTIFINANCIALINFORMATION_89336"/>
      <w:bookmarkStart w:id="28" w:name="_26cd40cc_15c8_43c1_bde2_2088e1f31453"/>
      <w:bookmarkEnd w:id="27"/>
      <w:bookmarkEnd w:id="28"/>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9" w:name="ITEM1FINANCIALSTATEMENTS_601539"/>
      <w:bookmarkEnd w:id="29"/>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30" w:name="BalanceSheets_59163"/>
      <w:bookmarkEnd w:id="30"/>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Normal"/>
        <w:bidi w:val="0"/>
        <w:spacing w:before="0" w:after="0"/>
        <w:jc w:val="left"/>
        <w:rPr>
          <w:sz w:val="4"/>
          <w:szCs w:val="4"/>
        </w:rPr>
      </w:pPr>
      <w:r>
        <w:rPr>
          <w:sz w:val="4"/>
          <w:szCs w:val="4"/>
        </w:rPr>
      </w:r>
      <w:bookmarkStart w:id="31" w:name="Tc_f8wWUN3BT0K1ipRcVcpbxg_45_5"/>
      <w:bookmarkStart w:id="32" w:name="Tc_guTZsVTh90iY6N2pdm-v6Q_45_2"/>
      <w:bookmarkStart w:id="33" w:name="Tc_hz6cC-t3bUm-kUTk_C-tmA_45_0"/>
      <w:bookmarkStart w:id="34" w:name="Tc_oMaENvYUJE2gX1CCxv8n4A_44_0"/>
      <w:bookmarkStart w:id="35" w:name="Tc_6p2zlGWiw0OtMZ_D80kk5w_43_0"/>
      <w:bookmarkStart w:id="36" w:name="Tc_VDZYTFXT-U2B6830D666kw_42_0"/>
      <w:bookmarkStart w:id="37" w:name="Tc_HHfwkfAtr0qIU-JmHtb2CA_41_0"/>
      <w:bookmarkStart w:id="38" w:name="Tc_Ndwkwx9RZkqvr0jQ4QImJQ_40_0"/>
      <w:bookmarkStart w:id="39" w:name="Tc_dch7k_jelE6YzKVP_0nV7Q_39_0"/>
      <w:bookmarkStart w:id="40" w:name="Tc_aHY5T8F_Rk-WD_EIetPxTw_38_0"/>
      <w:bookmarkStart w:id="41" w:name="_b88bd49b_14d7_472e_acab_adb1adac2404_3"/>
      <w:bookmarkStart w:id="42" w:name="_b88bd49b_14d7_472e_acab_adb1adac2404_2"/>
      <w:bookmarkStart w:id="43" w:name="_b88bd49b_14d7_472e_acab_adb1adac2404"/>
      <w:bookmarkStart w:id="44" w:name="_78335524_7e73_4d68_ad20_68b0ea501260_3"/>
      <w:bookmarkStart w:id="45" w:name="_78335524_7e73_4d68_ad20_68b0ea501260_2"/>
      <w:bookmarkStart w:id="46" w:name="_78335524_7e73_4d68_ad20_68b0ea501260"/>
      <w:bookmarkStart w:id="47" w:name="Tc_ADLYJ8pNp0KgFEOj2leFCg_37_0"/>
      <w:bookmarkStart w:id="48" w:name="Tc_HH_ScpHOhUKH96cE9oyJIw_36_0"/>
      <w:bookmarkStart w:id="49" w:name="Tc_mp5xBgGj8Eyc61yxO6rJYA_35_0"/>
      <w:bookmarkStart w:id="50" w:name="Tc_tAwmyIAivkG8CzkAQc3m5Q_34_0"/>
      <w:bookmarkStart w:id="51" w:name="Tc_ZmURM7s4OU6Fj8g-l-qRDA_33_0"/>
      <w:bookmarkStart w:id="52" w:name="Tc_b1I7Pt5Yt0SOXSQ1Ob8peA_32_0"/>
      <w:bookmarkStart w:id="53" w:name="Tc_DNn0Q3kA5kilnhaEUXigWg_31_0"/>
      <w:bookmarkStart w:id="54" w:name="Tc_aQiVA4EW80ymAyrT0iupgQ_30_0"/>
      <w:bookmarkStart w:id="55" w:name="Tc_w9xKi-JFFkG5XKrdk3EZuA_29_0"/>
      <w:bookmarkStart w:id="56" w:name="Tc_R9zVRMZQbkSrAfykXND6Dg_28_0"/>
      <w:bookmarkStart w:id="57" w:name="Tc_HnEQJj4-fEyPAiADxlNAmg_27_0"/>
      <w:bookmarkStart w:id="58" w:name="Tc_EG-pu7_krkWOIh2zIlK9Og_26_0"/>
      <w:bookmarkStart w:id="59" w:name="Tc_Bb0J_sfnPUuCym4d7xgK-Q_25_0"/>
      <w:bookmarkStart w:id="60" w:name="Tc_X99hW0N7EUa1e_O-VKnGqA_24_0"/>
      <w:bookmarkStart w:id="61" w:name="Tc_wbw8utaHGkySx9-mJjZHRg_23_0"/>
      <w:bookmarkStart w:id="62" w:name="Tc_uuGeckhBuES9MyqmB7rUmg_22_5"/>
      <w:bookmarkStart w:id="63" w:name="Tc_xlaiZGOXakKtvSH16oTKgA_22_2"/>
      <w:bookmarkStart w:id="64" w:name="Tc_swZRnq7zBkCc1f2kiUvHIw_22_0"/>
      <w:bookmarkStart w:id="65" w:name="Tc_3OO6l-Fh-EK9neVhuGi1Yw_21_0"/>
      <w:bookmarkStart w:id="66" w:name="Tc_Pe9KXAm6iEWWD7sNtddlsA_20_0"/>
      <w:bookmarkStart w:id="67" w:name="Tc_Zs4psA-ab0q7lHoza8KU9g_19_5"/>
      <w:bookmarkStart w:id="68" w:name="Tc_NVlH_-GrX06B5SdhpLZoCw_19_2"/>
      <w:bookmarkStart w:id="69" w:name="Tc_MJbvZKrLxU6oROkGJtbxpw_19_0"/>
      <w:bookmarkStart w:id="70" w:name="Tc_9GIMAhSx7E-IBc6_b8BuCQ_18_0"/>
      <w:bookmarkStart w:id="71" w:name="Tc_5p3rs2OhOkyk_aXVObsc8g_17_0"/>
      <w:bookmarkStart w:id="72" w:name="Tc_DGoiISbMlE-2i4VmmmVJXQ_16_0"/>
      <w:bookmarkStart w:id="73" w:name="Tc_8eJDp23xg0meiG5QcIksVQ_15_0"/>
      <w:bookmarkStart w:id="74" w:name="Tc_Kj4FHFjoL0ijU0er9PHNEQ_14_0"/>
      <w:bookmarkStart w:id="75" w:name="Tc_Vxu6AUv9OkOR4AlrGSQooA_13_0"/>
      <w:bookmarkStart w:id="76" w:name="Tc_D3Re_breuUObRycNnu1_6A_12_0"/>
      <w:bookmarkStart w:id="77" w:name="Tc_oJaGMzsn6kWql-GMFql7sA_11_0"/>
      <w:bookmarkStart w:id="78" w:name="Tc_gHWMZ69jCEustiWbaxAdoA_10_0"/>
      <w:bookmarkStart w:id="79" w:name="Tc_4D316ElLSES-B5CjUbE63Q_9_0"/>
      <w:bookmarkStart w:id="80" w:name="Tc_XuanUZJ0s0Gzi7xXdH5Tig_8_0"/>
      <w:bookmarkStart w:id="81" w:name="Tc_TCIqMT5yHEKVRyqX9IYYTw_7_0"/>
      <w:bookmarkStart w:id="82" w:name="Tc_ZQ2-EO796US2hiKGVEGUaA_6_0"/>
      <w:bookmarkStart w:id="83" w:name="Tc_NcGHeM2gG0er08Eb1GdBtw_5_5"/>
      <w:bookmarkStart w:id="84" w:name="Tc_YWdqx1deG0G04Y7_52IQSA_5_2"/>
      <w:bookmarkStart w:id="85" w:name="Tc_OWGA2Swk_k2l2c7VQYeLZA_5_0"/>
      <w:bookmarkStart w:id="86" w:name="Tc_fWZiCCcRS06rjCcGjh2Gbg_4_0"/>
      <w:bookmarkStart w:id="87" w:name="Tc_AhULbE19QEGMzyb-bqt0_Q_3_0"/>
      <w:bookmarkStart w:id="88" w:name="Tc_y2d9jrTLk02VOQRkR8u2NQ_2_5"/>
      <w:bookmarkStart w:id="89" w:name="Tc_QL9xFyJF00G4TP3xKlFOJA_2_2"/>
      <w:bookmarkStart w:id="90" w:name="Tc_m44kDflgCE6uq2GFjNrNlQ_1_5"/>
      <w:bookmarkStart w:id="91" w:name="Tc_weEQHNXm5E-HmJbD0Gb3WA_1_2"/>
      <w:bookmarkStart w:id="92" w:name="_41ef5ea5_5cc2_4413_afb2_d58bbe21bdab"/>
      <w:bookmarkStart w:id="93" w:name="Tc_f8wWUN3BT0K1ipRcVcpbxg_45_5"/>
      <w:bookmarkStart w:id="94" w:name="Tc_guTZsVTh90iY6N2pdm-v6Q_45_2"/>
      <w:bookmarkStart w:id="95" w:name="Tc_hz6cC-t3bUm-kUTk_C-tmA_45_0"/>
      <w:bookmarkStart w:id="96" w:name="Tc_oMaENvYUJE2gX1CCxv8n4A_44_0"/>
      <w:bookmarkStart w:id="97" w:name="Tc_6p2zlGWiw0OtMZ_D80kk5w_43_0"/>
      <w:bookmarkStart w:id="98" w:name="Tc_VDZYTFXT-U2B6830D666kw_42_0"/>
      <w:bookmarkStart w:id="99" w:name="Tc_HHfwkfAtr0qIU-JmHtb2CA_41_0"/>
      <w:bookmarkStart w:id="100" w:name="Tc_Ndwkwx9RZkqvr0jQ4QImJQ_40_0"/>
      <w:bookmarkStart w:id="101" w:name="Tc_dch7k_jelE6YzKVP_0nV7Q_39_0"/>
      <w:bookmarkStart w:id="102" w:name="Tc_aHY5T8F_Rk-WD_EIetPxTw_38_0"/>
      <w:bookmarkStart w:id="103" w:name="_b88bd49b_14d7_472e_acab_adb1adac2404_3"/>
      <w:bookmarkStart w:id="104" w:name="_b88bd49b_14d7_472e_acab_adb1adac2404_2"/>
      <w:bookmarkStart w:id="105" w:name="_b88bd49b_14d7_472e_acab_adb1adac2404"/>
      <w:bookmarkStart w:id="106" w:name="_78335524_7e73_4d68_ad20_68b0ea501260_3"/>
      <w:bookmarkStart w:id="107" w:name="_78335524_7e73_4d68_ad20_68b0ea501260_2"/>
      <w:bookmarkStart w:id="108" w:name="_78335524_7e73_4d68_ad20_68b0ea501260"/>
      <w:bookmarkStart w:id="109" w:name="Tc_ADLYJ8pNp0KgFEOj2leFCg_37_0"/>
      <w:bookmarkStart w:id="110" w:name="Tc_HH_ScpHOhUKH96cE9oyJIw_36_0"/>
      <w:bookmarkStart w:id="111" w:name="Tc_mp5xBgGj8Eyc61yxO6rJYA_35_0"/>
      <w:bookmarkStart w:id="112" w:name="Tc_tAwmyIAivkG8CzkAQc3m5Q_34_0"/>
      <w:bookmarkStart w:id="113" w:name="Tc_ZmURM7s4OU6Fj8g-l-qRDA_33_0"/>
      <w:bookmarkStart w:id="114" w:name="Tc_b1I7Pt5Yt0SOXSQ1Ob8peA_32_0"/>
      <w:bookmarkStart w:id="115" w:name="Tc_DNn0Q3kA5kilnhaEUXigWg_31_0"/>
      <w:bookmarkStart w:id="116" w:name="Tc_aQiVA4EW80ymAyrT0iupgQ_30_0"/>
      <w:bookmarkStart w:id="117" w:name="Tc_w9xKi-JFFkG5XKrdk3EZuA_29_0"/>
      <w:bookmarkStart w:id="118" w:name="Tc_R9zVRMZQbkSrAfykXND6Dg_28_0"/>
      <w:bookmarkStart w:id="119" w:name="Tc_HnEQJj4-fEyPAiADxlNAmg_27_0"/>
      <w:bookmarkStart w:id="120" w:name="Tc_EG-pu7_krkWOIh2zIlK9Og_26_0"/>
      <w:bookmarkStart w:id="121" w:name="Tc_Bb0J_sfnPUuCym4d7xgK-Q_25_0"/>
      <w:bookmarkStart w:id="122" w:name="Tc_X99hW0N7EUa1e_O-VKnGqA_24_0"/>
      <w:bookmarkStart w:id="123" w:name="Tc_wbw8utaHGkySx9-mJjZHRg_23_0"/>
      <w:bookmarkStart w:id="124" w:name="Tc_uuGeckhBuES9MyqmB7rUmg_22_5"/>
      <w:bookmarkStart w:id="125" w:name="Tc_xlaiZGOXakKtvSH16oTKgA_22_2"/>
      <w:bookmarkStart w:id="126" w:name="Tc_swZRnq7zBkCc1f2kiUvHIw_22_0"/>
      <w:bookmarkStart w:id="127" w:name="Tc_3OO6l-Fh-EK9neVhuGi1Yw_21_0"/>
      <w:bookmarkStart w:id="128" w:name="Tc_Pe9KXAm6iEWWD7sNtddlsA_20_0"/>
      <w:bookmarkStart w:id="129" w:name="Tc_Zs4psA-ab0q7lHoza8KU9g_19_5"/>
      <w:bookmarkStart w:id="130" w:name="Tc_NVlH_-GrX06B5SdhpLZoCw_19_2"/>
      <w:bookmarkStart w:id="131" w:name="Tc_MJbvZKrLxU6oROkGJtbxpw_19_0"/>
      <w:bookmarkStart w:id="132" w:name="Tc_9GIMAhSx7E-IBc6_b8BuCQ_18_0"/>
      <w:bookmarkStart w:id="133" w:name="Tc_5p3rs2OhOkyk_aXVObsc8g_17_0"/>
      <w:bookmarkStart w:id="134" w:name="Tc_DGoiISbMlE-2i4VmmmVJXQ_16_0"/>
      <w:bookmarkStart w:id="135" w:name="Tc_8eJDp23xg0meiG5QcIksVQ_15_0"/>
      <w:bookmarkStart w:id="136" w:name="Tc_Kj4FHFjoL0ijU0er9PHNEQ_14_0"/>
      <w:bookmarkStart w:id="137" w:name="Tc_Vxu6AUv9OkOR4AlrGSQooA_13_0"/>
      <w:bookmarkStart w:id="138" w:name="Tc_D3Re_breuUObRycNnu1_6A_12_0"/>
      <w:bookmarkStart w:id="139" w:name="Tc_oJaGMzsn6kWql-GMFql7sA_11_0"/>
      <w:bookmarkStart w:id="140" w:name="Tc_gHWMZ69jCEustiWbaxAdoA_10_0"/>
      <w:bookmarkStart w:id="141" w:name="Tc_4D316ElLSES-B5CjUbE63Q_9_0"/>
      <w:bookmarkStart w:id="142" w:name="Tc_XuanUZJ0s0Gzi7xXdH5Tig_8_0"/>
      <w:bookmarkStart w:id="143" w:name="Tc_TCIqMT5yHEKVRyqX9IYYTw_7_0"/>
      <w:bookmarkStart w:id="144" w:name="Tc_ZQ2-EO796US2hiKGVEGUaA_6_0"/>
      <w:bookmarkStart w:id="145" w:name="Tc_NcGHeM2gG0er08Eb1GdBtw_5_5"/>
      <w:bookmarkStart w:id="146" w:name="Tc_YWdqx1deG0G04Y7_52IQSA_5_2"/>
      <w:bookmarkStart w:id="147" w:name="Tc_OWGA2Swk_k2l2c7VQYeLZA_5_0"/>
      <w:bookmarkStart w:id="148" w:name="Tc_fWZiCCcRS06rjCcGjh2Gbg_4_0"/>
      <w:bookmarkStart w:id="149" w:name="Tc_AhULbE19QEGMzyb-bqt0_Q_3_0"/>
      <w:bookmarkStart w:id="150" w:name="Tc_y2d9jrTLk02VOQRkR8u2NQ_2_5"/>
      <w:bookmarkStart w:id="151" w:name="Tc_QL9xFyJF00G4TP3xKlFOJA_2_2"/>
      <w:bookmarkStart w:id="152" w:name="Tc_m44kDflgCE6uq2GFjNrNlQ_1_5"/>
      <w:bookmarkStart w:id="153" w:name="Tc_weEQHNXm5E-HmJbD0Gb3WA_1_2"/>
      <w:bookmarkStart w:id="154" w:name="_41ef5ea5_5cc2_4413_afb2_d58bbe21bdab"/>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tbl>
      <w:tblPr>
        <w:tblW w:w="10205" w:type="dxa"/>
        <w:jc w:val="left"/>
        <w:tblInd w:w="0" w:type="dxa"/>
        <w:tblLayout w:type="fixed"/>
        <w:tblCellMar>
          <w:top w:w="0" w:type="dxa"/>
          <w:left w:w="0" w:type="dxa"/>
          <w:bottom w:w="0" w:type="dxa"/>
          <w:right w:w="0" w:type="dxa"/>
        </w:tblCellMar>
      </w:tblPr>
      <w:tblGrid>
        <w:gridCol w:w="7552"/>
        <w:gridCol w:w="109"/>
        <w:gridCol w:w="196"/>
        <w:gridCol w:w="826"/>
        <w:gridCol w:w="346"/>
        <w:gridCol w:w="196"/>
        <w:gridCol w:w="826"/>
        <w:gridCol w:w="154"/>
      </w:tblGrid>
      <w:tr>
        <w:trPr/>
        <w:tc>
          <w:tcPr>
            <w:tcW w:w="7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95520" cy="175260"/>
                      <wp:effectExtent l="0" t="0" r="0" b="0"/>
                      <wp:wrapNone/>
                      <wp:docPr id="4" name="Frame4"/>
                      <a:graphic xmlns:a="http://schemas.openxmlformats.org/drawingml/2006/main">
                        <a:graphicData uri="http://schemas.microsoft.com/office/word/2010/wordprocessingShape">
                          <wps:wsp>
                            <wps:cNvSpPr txBox="1"/>
                            <wps:spPr>
                              <a:xfrm>
                                <a:off x="0" y="0"/>
                                <a:ext cx="4795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4510" cy="175260"/>
                      <wp:effectExtent l="0" t="0" r="0" b="0"/>
                      <wp:wrapNone/>
                      <wp:docPr id="7"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4510" cy="175260"/>
                      <wp:effectExtent l="0" t="0" r="0" b="0"/>
                      <wp:wrapNone/>
                      <wp:docPr id="10" name="Frame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11" name="Frame1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vAlign w:val="center"/>
          </w:tcPr>
          <w:p>
            <w:pPr>
              <w:pStyle w:val="TableContents"/>
              <w:bidi w:val="0"/>
              <w:spacing w:before="0" w:after="0"/>
              <w:ind w:left="0" w:right="0" w:hanging="0"/>
              <w:jc w:val="center"/>
              <w:rPr/>
            </w:pPr>
            <w:r>
              <w:rPr/>
              <w:t>​</w:t>
            </w:r>
          </w:p>
        </w:tc>
      </w:tr>
      <w:tr>
        <w:trPr/>
        <w:tc>
          <w:tcPr>
            <w:tcW w:w="755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center"/>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278,390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377,325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301,837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254,972</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credit losses of $6,515 at August 1, 2026 and $1,961 at April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183,133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316,167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Unbilled receivables and retentions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637,832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570,408</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410,773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312,856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5,806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6,210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52,485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1,881,634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1,890,423</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94,777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81,128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202,653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166,719</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113,830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100,392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Intangibles, net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886,469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929,826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2,493,886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2,493,678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57,444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54,576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5,730,693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5,716,742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174,836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160,507</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Wages and related accruals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70,933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98,056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advances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87,546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79,607</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524</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90,105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82,949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441,730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439,237</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730,057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728,967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102,943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88,228</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for uncertain tax positions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50,494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$0.0001 par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 none issued or outstanding at August 1, 2026 and April 30, 2026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$0.0001 par value:</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shares—50,822,963</w:t>
            </w:r>
            <w:r>
              <w:rPr>
                <w:rFonts w:ascii="Times New Roman;Times;serif" w:hAnsi="Times New Roman;Times;serif"/>
                <w:sz w:val="20"/>
              </w:rPr>
              <w:t xml:space="preserve"> </w:t>
            </w:r>
            <w:r>
              <w:rPr>
                <w:rFonts w:ascii="Times New Roman;Times;serif" w:hAnsi="Times New Roman;Times;serif"/>
                <w:sz w:val="18"/>
              </w:rPr>
              <w:t>shares at August 1, 2026 and 50,610,514</w:t>
            </w:r>
            <w:r>
              <w:rPr>
                <w:rFonts w:ascii="Times New Roman;Times;serif" w:hAnsi="Times New Roman;Times;serif"/>
                <w:sz w:val="20"/>
              </w:rPr>
              <w:t xml:space="preserve"> </w:t>
            </w:r>
            <w:r>
              <w:rPr>
                <w:rFonts w:ascii="Times New Roman;Times;serif" w:hAnsi="Times New Roman;Times;serif"/>
                <w:sz w:val="18"/>
              </w:rPr>
              <w:t>shares at April 30, 2026</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4,397,684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4,396,845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(5,753)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(5,635)</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(loss) earnings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9,184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755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4,396,055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4,400,400</w:t>
            </w:r>
          </w:p>
        </w:tc>
        <w:tc>
          <w:tcPr>
            <w:tcW w:w="154" w:type="dxa"/>
            <w:tcBorders/>
            <w:vAlign w:val="center"/>
          </w:tcPr>
          <w:p>
            <w:pPr>
              <w:pStyle w:val="TableContents"/>
              <w:bidi w:val="0"/>
              <w:spacing w:before="0" w:after="0"/>
              <w:ind w:left="0" w:right="0" w:hanging="0"/>
              <w:jc w:val="left"/>
              <w:rPr/>
            </w:pPr>
            <w:r>
              <w:rPr/>
              <w:t>​</w:t>
            </w:r>
          </w:p>
        </w:tc>
      </w:tr>
      <w:tr>
        <w:trPr/>
        <w:tc>
          <w:tcPr>
            <w:tcW w:w="755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5,730,693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5,716,742</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5" w:name="_a27be1a3_7174_4402_8c3d_91d9e530434e"/>
      <w:bookmarkEnd w:id="155"/>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156" w:name="StatementsofOperations_883541"/>
      <w:bookmarkEnd w:id="156"/>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7" w:name="Tc_yeo7yUiYPEeBYcceO7cTqA_31_0"/>
      <w:bookmarkStart w:id="158" w:name="Tc_LCZOG6YjD0uxXibdNysRjg_30_0"/>
      <w:bookmarkStart w:id="159" w:name="Tc_PPMfJyt0tUa1KFiDB7ztLg_29_0"/>
      <w:bookmarkStart w:id="160" w:name="Tc_Vkiq6n8LuEKJOOfB1alHDg_28_5"/>
      <w:bookmarkStart w:id="161" w:name="Tc_KCxE_BDl-kaVSQCFL34QZg_28_2"/>
      <w:bookmarkStart w:id="162" w:name="Tc_iTCBgCc7-UCSnrFIf9EkAQ_28_0"/>
      <w:bookmarkStart w:id="163" w:name="Tc_Q6p2-6I9_kaAE0WHICoF2g_27_5"/>
      <w:bookmarkStart w:id="164" w:name="Tc_rdjcxSOqqEWJgi1JbLF_jw_27_2"/>
      <w:bookmarkStart w:id="165" w:name="Tc_ztAfxBCfEU2_ivovT6yhdA_27_0"/>
      <w:bookmarkStart w:id="166" w:name="Tc_sPKAW74kRE6r5J1mTmzQXA_26_0"/>
      <w:bookmarkStart w:id="167" w:name="Tc_V7K23jk8o0ygZy-d8rERxg_25_5"/>
      <w:bookmarkStart w:id="168" w:name="Tc_0Pa90m51ZUqoe1_5Hn15hA_25_2"/>
      <w:bookmarkStart w:id="169" w:name="Tc_HGEeRZKfxUSWgyLcN35iSw_25_0"/>
      <w:bookmarkStart w:id="170" w:name="Tc_wRw7LLHVP0-mUiKuBvd1qQ_24_0"/>
      <w:bookmarkStart w:id="171" w:name="Tc_rYcYhpZ5dUWTzXkjn_y0uQ_23_0"/>
      <w:bookmarkStart w:id="172" w:name="Tc_BUj4CBcw_UmetBHQP35wnA_22_0"/>
      <w:bookmarkStart w:id="173" w:name="Tc_KPMuA-oFpkGQN1cxSYaQzA_21_0"/>
      <w:bookmarkStart w:id="174" w:name="Tc_gQge3Na31ku-IywCRBYLdA_20_0"/>
      <w:bookmarkStart w:id="175" w:name="Tc_MpqNaVyb1U6W2_T9HghwDQ_19_0"/>
      <w:bookmarkStart w:id="176" w:name="Tc_7_dGitG3MUmgwGXGD51IwA_18_0"/>
      <w:bookmarkStart w:id="177" w:name="Tc_zO0YYcC3U0yzeDLlPMlIiQ_17_0"/>
      <w:bookmarkStart w:id="178" w:name="Tc_7yc2rHMI9kKbLCDjdhwumw_16_0"/>
      <w:bookmarkStart w:id="179" w:name="Tc_TZA7Rurh8UaNIF0zoE1DSw_14_0"/>
      <w:bookmarkStart w:id="180" w:name="Tc_-Ut8iievzUWNh3b0PGcuOA_13_0"/>
      <w:bookmarkStart w:id="181" w:name="Tc_1w5FfV5MxUiXyMoZ5P_Kyw_12_0"/>
      <w:bookmarkStart w:id="182" w:name="Tc_E1rrUL_MqE-mx9ZydbpHZw_10_0"/>
      <w:bookmarkStart w:id="183" w:name="Tc_vPbYRU-DFkm8DZcEoPcYrQ_9_0"/>
      <w:bookmarkStart w:id="184" w:name="Tc_kidMNRYYKkWFeiFcT37OOg_8_0"/>
      <w:bookmarkStart w:id="185" w:name="Tc_VzPol-zUs02FQ9S8ZDsTvA_6_0"/>
      <w:bookmarkStart w:id="186" w:name="Tc_c82_7C0s_k-BupqrYNNz6Q_5_5"/>
      <w:bookmarkStart w:id="187" w:name="Tc_OtjLGFEBSkSPgm5v0bq5tA_5_2"/>
      <w:bookmarkStart w:id="188" w:name="Tc_sj78xYgueUCKTFWw7kM0vg_5_0"/>
      <w:bookmarkStart w:id="189" w:name="Tc_RTMkvxu03EyhRZIzRuTDcQ_4_0"/>
      <w:bookmarkStart w:id="190" w:name="Tc_bo5KhcwmJ0OQPrUCzJQKoA_3_5"/>
      <w:bookmarkStart w:id="191" w:name="Tc_tUmnuvvy2kmDxDGFJM7ORA_3_2"/>
      <w:bookmarkStart w:id="192" w:name="Tc_tcJKAgQj5U60_x1kRCCLRA_2_5"/>
      <w:bookmarkStart w:id="193" w:name="Tc_wkH047VTSkGyDBU_aZQ3ow_2_2"/>
      <w:bookmarkStart w:id="194" w:name="Tc_qaapj9WXhUqC_GleSLVU9A_1_2"/>
      <w:bookmarkStart w:id="195" w:name="_75e755d2_7f5f_4d61_8e6e_919400104d9d"/>
      <w:bookmarkStart w:id="196" w:name="Tc_yeo7yUiYPEeBYcceO7cTqA_31_0"/>
      <w:bookmarkStart w:id="197" w:name="Tc_LCZOG6YjD0uxXibdNysRjg_30_0"/>
      <w:bookmarkStart w:id="198" w:name="Tc_PPMfJyt0tUa1KFiDB7ztLg_29_0"/>
      <w:bookmarkStart w:id="199" w:name="Tc_Vkiq6n8LuEKJOOfB1alHDg_28_5"/>
      <w:bookmarkStart w:id="200" w:name="Tc_KCxE_BDl-kaVSQCFL34QZg_28_2"/>
      <w:bookmarkStart w:id="201" w:name="Tc_iTCBgCc7-UCSnrFIf9EkAQ_28_0"/>
      <w:bookmarkStart w:id="202" w:name="Tc_Q6p2-6I9_kaAE0WHICoF2g_27_5"/>
      <w:bookmarkStart w:id="203" w:name="Tc_rdjcxSOqqEWJgi1JbLF_jw_27_2"/>
      <w:bookmarkStart w:id="204" w:name="Tc_ztAfxBCfEU2_ivovT6yhdA_27_0"/>
      <w:bookmarkStart w:id="205" w:name="Tc_sPKAW74kRE6r5J1mTmzQXA_26_0"/>
      <w:bookmarkStart w:id="206" w:name="Tc_V7K23jk8o0ygZy-d8rERxg_25_5"/>
      <w:bookmarkStart w:id="207" w:name="Tc_0Pa90m51ZUqoe1_5Hn15hA_25_2"/>
      <w:bookmarkStart w:id="208" w:name="Tc_HGEeRZKfxUSWgyLcN35iSw_25_0"/>
      <w:bookmarkStart w:id="209" w:name="Tc_wRw7LLHVP0-mUiKuBvd1qQ_24_0"/>
      <w:bookmarkStart w:id="210" w:name="Tc_rYcYhpZ5dUWTzXkjn_y0uQ_23_0"/>
      <w:bookmarkStart w:id="211" w:name="Tc_BUj4CBcw_UmetBHQP35wnA_22_0"/>
      <w:bookmarkStart w:id="212" w:name="Tc_KPMuA-oFpkGQN1cxSYaQzA_21_0"/>
      <w:bookmarkStart w:id="213" w:name="Tc_gQge3Na31ku-IywCRBYLdA_20_0"/>
      <w:bookmarkStart w:id="214" w:name="Tc_MpqNaVyb1U6W2_T9HghwDQ_19_0"/>
      <w:bookmarkStart w:id="215" w:name="Tc_7_dGitG3MUmgwGXGD51IwA_18_0"/>
      <w:bookmarkStart w:id="216" w:name="Tc_zO0YYcC3U0yzeDLlPMlIiQ_17_0"/>
      <w:bookmarkStart w:id="217" w:name="Tc_7yc2rHMI9kKbLCDjdhwumw_16_0"/>
      <w:bookmarkStart w:id="218" w:name="Tc_TZA7Rurh8UaNIF0zoE1DSw_14_0"/>
      <w:bookmarkStart w:id="219" w:name="Tc_-Ut8iievzUWNh3b0PGcuOA_13_0"/>
      <w:bookmarkStart w:id="220" w:name="Tc_1w5FfV5MxUiXyMoZ5P_Kyw_12_0"/>
      <w:bookmarkStart w:id="221" w:name="Tc_E1rrUL_MqE-mx9ZydbpHZw_10_0"/>
      <w:bookmarkStart w:id="222" w:name="Tc_vPbYRU-DFkm8DZcEoPcYrQ_9_0"/>
      <w:bookmarkStart w:id="223" w:name="Tc_kidMNRYYKkWFeiFcT37OOg_8_0"/>
      <w:bookmarkStart w:id="224" w:name="Tc_VzPol-zUs02FQ9S8ZDsTvA_6_0"/>
      <w:bookmarkStart w:id="225" w:name="Tc_c82_7C0s_k-BupqrYNNz6Q_5_5"/>
      <w:bookmarkStart w:id="226" w:name="Tc_OtjLGFEBSkSPgm5v0bq5tA_5_2"/>
      <w:bookmarkStart w:id="227" w:name="Tc_sj78xYgueUCKTFWw7kM0vg_5_0"/>
      <w:bookmarkStart w:id="228" w:name="Tc_RTMkvxu03EyhRZIzRuTDcQ_4_0"/>
      <w:bookmarkStart w:id="229" w:name="Tc_bo5KhcwmJ0OQPrUCzJQKoA_3_5"/>
      <w:bookmarkStart w:id="230" w:name="Tc_tUmnuvvy2kmDxDGFJM7ORA_3_2"/>
      <w:bookmarkStart w:id="231" w:name="Tc_tcJKAgQj5U60_x1kRCCLRA_2_5"/>
      <w:bookmarkStart w:id="232" w:name="Tc_wkH047VTSkGyDBU_aZQ3ow_2_2"/>
      <w:bookmarkStart w:id="233" w:name="Tc_qaapj9WXhUqC_GleSLVU9A_1_2"/>
      <w:bookmarkStart w:id="234" w:name="_75e755d2_7f5f_4d61_8e6e_919400104d9d"/>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tbl>
      <w:tblPr>
        <w:tblW w:w="5867" w:type="dxa"/>
        <w:jc w:val="left"/>
        <w:tblInd w:w="0" w:type="dxa"/>
        <w:tblLayout w:type="fixed"/>
        <w:tblCellMar>
          <w:top w:w="0" w:type="dxa"/>
          <w:left w:w="0" w:type="dxa"/>
          <w:bottom w:w="0" w:type="dxa"/>
          <w:right w:w="0" w:type="dxa"/>
        </w:tblCellMar>
      </w:tblPr>
      <w:tblGrid>
        <w:gridCol w:w="3271"/>
        <w:gridCol w:w="109"/>
        <w:gridCol w:w="196"/>
        <w:gridCol w:w="916"/>
        <w:gridCol w:w="109"/>
        <w:gridCol w:w="196"/>
        <w:gridCol w:w="916"/>
        <w:gridCol w:w="154"/>
      </w:tblGrid>
      <w:tr>
        <w:trPr/>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7085" cy="175260"/>
                      <wp:effectExtent l="0" t="0" r="0" b="0"/>
                      <wp:wrapNone/>
                      <wp:docPr id="12" name="Frame12"/>
                      <a:graphic xmlns:a="http://schemas.openxmlformats.org/drawingml/2006/main">
                        <a:graphicData uri="http://schemas.microsoft.com/office/word/2010/wordprocessingShape">
                          <wps:wsp>
                            <wps:cNvSpPr txBox="1"/>
                            <wps:spPr>
                              <a:xfrm>
                                <a:off x="0" y="0"/>
                                <a:ext cx="2077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9215" cy="175260"/>
                      <wp:effectExtent l="0" t="0" r="0" b="0"/>
                      <wp:wrapNone/>
                      <wp:docPr id="13"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9215" cy="175260"/>
                      <wp:effectExtent l="0" t="0" r="0" b="0"/>
                      <wp:wrapNone/>
                      <wp:docPr id="16"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1660" cy="175260"/>
                      <wp:effectExtent l="0" t="0" r="0" b="0"/>
                      <wp:wrapNone/>
                      <wp:docPr id="18" name="Frame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7790" cy="175260"/>
                      <wp:effectExtent l="0" t="0" r="0" b="0"/>
                      <wp:wrapNone/>
                      <wp:docPr id="19" name="Frame1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3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329,058</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313,533</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151,432</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141,143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480,490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454,676</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213,565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230,687</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142,326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355,891</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359,558</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115,493</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82,846</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9,106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124,599</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95,118</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111,508</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131,276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23,962</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33,114</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(10,871)</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(69,272)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(loss):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4,136</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(expense) income, net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(595)</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2,361</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before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(84,326)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Benefit from income taxes</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(15,169)</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income, net of tax</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1,867</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1,787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(5,066)</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(67,370)</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per share</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(0.10)</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(0.10)</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outstanding:</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49,822,595</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46,882,350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49,822,595</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46,882,350</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35" w:name="_7570b958_22a6_48fb_8393_ce9800c07bfc"/>
      <w:bookmarkEnd w:id="235"/>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236" w:name="LossIncomeUnaudited_152279"/>
      <w:bookmarkEnd w:id="236"/>
      <w:r>
        <w:rPr>
          <w:rFonts w:ascii="Times New Roman;Times;serif" w:hAnsi="Times New Roman;Times;serif"/>
          <w:b/>
          <w:sz w:val="20"/>
        </w:rPr>
        <w:t>Condensed Consolidated Statements of Comprehensive Loss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37" w:name="Tc_ReI6A4GaSkab_qirgbXcjg_8_5"/>
      <w:bookmarkStart w:id="238" w:name="Tc_Fax-aoV-4kqX0qmvB9X9TA_8_2"/>
      <w:bookmarkStart w:id="239" w:name="Tc_GwNvy0ubF0COYcjXG34NRg_8_0"/>
      <w:bookmarkStart w:id="240" w:name="Tc__jUOIuC0X0uYxSycH3tDCg_7_0"/>
      <w:bookmarkStart w:id="241" w:name="Tc_GF5aFBURXkGKWZB6gGEWHA_6_6"/>
      <w:bookmarkStart w:id="242" w:name="Tc_-YafeAcYWEqNItaQsDV9jg_6_0"/>
      <w:bookmarkStart w:id="243" w:name="Tc_ALa_7CUGREqt2K6CrmLbbg_5_0"/>
      <w:bookmarkStart w:id="244" w:name="Tc_mlBbK1YbTEOLfzlvyu0lXQ_4_5"/>
      <w:bookmarkStart w:id="245" w:name="Tc_gmMytdmYe0aNEDyIt-55DA_4_2"/>
      <w:bookmarkStart w:id="246" w:name="Tc_b4rCW8FAiU-lxeyvW8eZ4w_4_0"/>
      <w:bookmarkStart w:id="247" w:name="Tc_iToPn0g4XkqewP44ltHenw_3_5"/>
      <w:bookmarkStart w:id="248" w:name="Tc_P8ZMgG0LQUCqpxMPd39a0Q_3_2"/>
      <w:bookmarkStart w:id="249" w:name="Tc_MsoJfha8rkOUqZeka1jOlA_2_5"/>
      <w:bookmarkStart w:id="250" w:name="Tc_BEZWPHGNbkm5gNR7M2Dg8w_2_2"/>
      <w:bookmarkStart w:id="251" w:name="Tc_c18G2XBP3Uiv62SVJfdlow_1_2"/>
      <w:bookmarkStart w:id="252" w:name="_932fe050_06e5_45d3_84e0_cc8c57e6497d"/>
      <w:bookmarkStart w:id="253" w:name="Tc_ReI6A4GaSkab_qirgbXcjg_8_5"/>
      <w:bookmarkStart w:id="254" w:name="Tc_Fax-aoV-4kqX0qmvB9X9TA_8_2"/>
      <w:bookmarkStart w:id="255" w:name="Tc_GwNvy0ubF0COYcjXG34NRg_8_0"/>
      <w:bookmarkStart w:id="256" w:name="Tc__jUOIuC0X0uYxSycH3tDCg_7_0"/>
      <w:bookmarkStart w:id="257" w:name="Tc_GF5aFBURXkGKWZB6gGEWHA_6_6"/>
      <w:bookmarkStart w:id="258" w:name="Tc_-YafeAcYWEqNItaQsDV9jg_6_0"/>
      <w:bookmarkStart w:id="259" w:name="Tc_ALa_7CUGREqt2K6CrmLbbg_5_0"/>
      <w:bookmarkStart w:id="260" w:name="Tc_mlBbK1YbTEOLfzlvyu0lXQ_4_5"/>
      <w:bookmarkStart w:id="261" w:name="Tc_gmMytdmYe0aNEDyIt-55DA_4_2"/>
      <w:bookmarkStart w:id="262" w:name="Tc_b4rCW8FAiU-lxeyvW8eZ4w_4_0"/>
      <w:bookmarkStart w:id="263" w:name="Tc_iToPn0g4XkqewP44ltHenw_3_5"/>
      <w:bookmarkStart w:id="264" w:name="Tc_P8ZMgG0LQUCqpxMPd39a0Q_3_2"/>
      <w:bookmarkStart w:id="265" w:name="Tc_MsoJfha8rkOUqZeka1jOlA_2_5"/>
      <w:bookmarkStart w:id="266" w:name="Tc_BEZWPHGNbkm5gNR7M2Dg8w_2_2"/>
      <w:bookmarkStart w:id="267" w:name="Tc_c18G2XBP3Uiv62SVJfdlow_1_2"/>
      <w:bookmarkStart w:id="268" w:name="_932fe050_06e5_45d3_84e0_cc8c57e6497d"/>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tbl>
      <w:tblPr>
        <w:tblW w:w="10205" w:type="dxa"/>
        <w:jc w:val="left"/>
        <w:tblInd w:w="0" w:type="dxa"/>
        <w:tblLayout w:type="fixed"/>
        <w:tblCellMar>
          <w:top w:w="0" w:type="dxa"/>
          <w:left w:w="0" w:type="dxa"/>
          <w:bottom w:w="0" w:type="dxa"/>
          <w:right w:w="0" w:type="dxa"/>
        </w:tblCellMar>
      </w:tblPr>
      <w:tblGrid>
        <w:gridCol w:w="7464"/>
        <w:gridCol w:w="346"/>
        <w:gridCol w:w="211"/>
        <w:gridCol w:w="665"/>
        <w:gridCol w:w="346"/>
        <w:gridCol w:w="211"/>
        <w:gridCol w:w="770"/>
        <w:gridCol w:w="192"/>
      </w:tblGrid>
      <w:tr>
        <w:trPr/>
        <w:tc>
          <w:tcPr>
            <w:tcW w:w="7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739640" cy="175260"/>
                      <wp:effectExtent l="0" t="0" r="0" b="0"/>
                      <wp:wrapNone/>
                      <wp:docPr id="20" name="Frame20"/>
                      <a:graphic xmlns:a="http://schemas.openxmlformats.org/drawingml/2006/main">
                        <a:graphicData uri="http://schemas.microsoft.com/office/word/2010/wordprocessingShape">
                          <wps:wsp>
                            <wps:cNvSpPr txBox="1"/>
                            <wps:spPr>
                              <a:xfrm>
                                <a:off x="0" y="0"/>
                                <a:ext cx="4739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22275" cy="175260"/>
                      <wp:effectExtent l="0" t="0" r="0" b="0"/>
                      <wp:wrapNone/>
                      <wp:docPr id="23" name="Frame23"/>
                      <a:graphic xmlns:a="http://schemas.openxmlformats.org/drawingml/2006/main">
                        <a:graphicData uri="http://schemas.microsoft.com/office/word/2010/wordprocessingShape">
                          <wps:wsp>
                            <wps:cNvSpPr txBox="1"/>
                            <wps:spPr>
                              <a:xfrm>
                                <a:off x="0" y="0"/>
                                <a:ext cx="422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4" name="Frame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488950" cy="175260"/>
                      <wp:effectExtent l="0" t="0" r="0" b="0"/>
                      <wp:wrapNone/>
                      <wp:docPr id="26" name="Frame26"/>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21920" cy="175260"/>
                      <wp:effectExtent l="0" t="0" r="0" b="0"/>
                      <wp:wrapNone/>
                      <wp:docPr id="27" name="Frame27"/>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2" w:type="dxa"/>
            <w:tcBorders/>
            <w:vAlign w:val="center"/>
          </w:tcPr>
          <w:p>
            <w:pPr>
              <w:pStyle w:val="TableContents"/>
              <w:bidi w:val="0"/>
              <w:spacing w:before="0" w:after="0"/>
              <w:ind w:left="0" w:right="0" w:hanging="0"/>
              <w:jc w:val="center"/>
              <w:rPr/>
            </w:pPr>
            <w:r>
              <w:rPr/>
              <w:t>​</w:t>
            </w:r>
          </w:p>
        </w:tc>
      </w:tr>
      <w:tr>
        <w:trPr/>
        <w:tc>
          <w:tcPr>
            <w:tcW w:w="74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9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92" w:type="dxa"/>
            <w:tcBorders/>
            <w:vAlign w:val="center"/>
          </w:tcPr>
          <w:p>
            <w:pPr>
              <w:pStyle w:val="TableContents"/>
              <w:bidi w:val="0"/>
              <w:spacing w:before="0" w:after="0"/>
              <w:ind w:left="0" w:right="0" w:hanging="0"/>
              <w:jc w:val="center"/>
              <w:rPr/>
            </w:pPr>
            <w:r>
              <w:rPr/>
              <w:t>​</w:t>
            </w:r>
          </w:p>
        </w:tc>
      </w:tr>
      <w:tr>
        <w:trPr/>
        <w:tc>
          <w:tcPr>
            <w:tcW w:w="746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2" w:type="dxa"/>
            <w:tcBorders/>
            <w:vAlign w:val="center"/>
          </w:tcPr>
          <w:p>
            <w:pPr>
              <w:pStyle w:val="TableContents"/>
              <w:bidi w:val="0"/>
              <w:spacing w:before="0" w:after="0"/>
              <w:ind w:left="0" w:right="0" w:hanging="0"/>
              <w:jc w:val="center"/>
              <w:rPr/>
            </w:pPr>
            <w:r>
              <w:rPr/>
              <w:t> </w:t>
            </w:r>
          </w:p>
        </w:tc>
      </w:tr>
      <w:tr>
        <w:trPr/>
        <w:tc>
          <w:tcPr>
            <w:tcW w:w="7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available-for-sale investments, net of deferred tax expense of $0 for the three months ended August 1, 2026 and August 2,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70"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6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192" w:type="dxa"/>
            <w:tcBorders/>
            <w:vAlign w:val="center"/>
          </w:tcPr>
          <w:p>
            <w:pPr>
              <w:pStyle w:val="TableContents"/>
              <w:bidi w:val="0"/>
              <w:spacing w:before="0" w:after="0"/>
              <w:ind w:left="0" w:right="0" w:hanging="0"/>
              <w:jc w:val="left"/>
              <w:rPr/>
            </w:pPr>
            <w:r>
              <w:rPr/>
              <w:t>​</w:t>
            </w:r>
          </w:p>
        </w:tc>
      </w:tr>
      <w:tr>
        <w:trPr/>
        <w:tc>
          <w:tcPr>
            <w:tcW w:w="74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(66,731)</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69" w:name="_07683d22_54ff_4634_8e43_0025647ee971"/>
      <w:bookmarkEnd w:id="269"/>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270" w:name="Equity_493049"/>
      <w:bookmarkEnd w:id="270"/>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August 1, 2026 and August 2, 2025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1" w:name="Tc_rd7peJnFBEO-zcX1VKnH4Q_30_16"/>
      <w:bookmarkStart w:id="272" w:name="Tc_t38EzBH8AkiJUSPeFCanwQ_30_13"/>
      <w:bookmarkStart w:id="273" w:name="Tc_gWg2cuAJgUaMaml4SYz92g_30_10"/>
      <w:bookmarkStart w:id="274" w:name="Tc_YTPfRzj9-0K3FGrKf_TwRQ_30_7"/>
      <w:bookmarkStart w:id="275" w:name="Tc_IDQHn8HUjU-Y2QfVB4iGGw_30_4"/>
      <w:bookmarkStart w:id="276" w:name="Tc_Lpc2H4rSeUS1OJzdVeCIjA_30_0"/>
      <w:bookmarkStart w:id="277" w:name="Tc_nCuDsrCuZUy9Ixib5X8ytg_29_14"/>
      <w:bookmarkStart w:id="278" w:name="Tc_-ZYR-qpy6kuCBMAv69tqDg_29_11"/>
      <w:bookmarkStart w:id="279" w:name="Tc_B4X2kemaoUqUElp3SrsQCQ_29_5"/>
      <w:bookmarkStart w:id="280" w:name="Tc_IqYHF6M2d0uN7IQljn7GYA_29_2"/>
      <w:bookmarkStart w:id="281" w:name="Tc_GKYqeNl790arTWCSELDhtw_29_0"/>
      <w:bookmarkStart w:id="282" w:name="Tc_RkaukuHejUyu0YD1Tj78dg_28_14"/>
      <w:bookmarkStart w:id="283" w:name="Tc_0hvGoOWI70WcozA-g-0DrA_28_11"/>
      <w:bookmarkStart w:id="284" w:name="Tc_dzdj_2g35U2XPCF9N-HKCw_28_5"/>
      <w:bookmarkStart w:id="285" w:name="Tc_XplE_KHJXUe9XLOl8vaXdw_28_0"/>
      <w:bookmarkStart w:id="286" w:name="Tc_Fp8vrFV4VUGmeJsB8x6_JA_27_14"/>
      <w:bookmarkStart w:id="287" w:name="Tc_Sfa2XbIzt0m_9tBZedHNgw_27_11"/>
      <w:bookmarkStart w:id="288" w:name="Tc_11w4qZ8Td0S2adzIgoa3Pg_27_0"/>
      <w:bookmarkStart w:id="289" w:name="Tc_QyctK0rT6UWF2IkwPxaSUQ_26_14"/>
      <w:bookmarkStart w:id="290" w:name="Tc_lzCTqedliE-mufItTCGbUA_26_11"/>
      <w:bookmarkStart w:id="291" w:name="Tc_Z5yBwyrnLUWb5RqDDfRRzA_26_5"/>
      <w:bookmarkStart w:id="292" w:name="Tc_M31kShAS0UegvutyuXB9Fg_26_0"/>
      <w:bookmarkStart w:id="293" w:name="Tc_Wv8hxblewEeTg7eZ_iYiLA_25_17"/>
      <w:bookmarkStart w:id="294" w:name="Tc_77ep5UeBsEy54N5ZGZMEeg_25_14"/>
      <w:bookmarkStart w:id="295" w:name="Tc_Mti62N7loE61oznefcNSuA_25_11"/>
      <w:bookmarkStart w:id="296" w:name="Tc_b6tfhYhTMEu2oRAneO1w9w_25_8"/>
      <w:bookmarkStart w:id="297" w:name="Tc_026ZLvsWBkWUNHSZV01wyA_25_5"/>
      <w:bookmarkStart w:id="298" w:name="Tc_YL9ZLz36Sku05iyhmqyfOA_25_0"/>
      <w:bookmarkStart w:id="299" w:name="Tc_oQuoyDUVAEKyPfqnxSnhhA_24_17"/>
      <w:bookmarkStart w:id="300" w:name="Tc_60Y-5R4-NkqHGMhUizyMmg_24_14"/>
      <w:bookmarkStart w:id="301" w:name="Tc_B3qjFJBoZ0iSq25wE6tkNg_24_11"/>
      <w:bookmarkStart w:id="302" w:name="Tc_XuKUE_QJZEOoWy1pOUJx0w_24_8"/>
      <w:bookmarkStart w:id="303" w:name="Tc_5WayWfbhgEydkuiTrgmG9A_24_5"/>
      <w:bookmarkStart w:id="304" w:name="Tc_WEBuKyCCakuXoK0nwiQ9xQ_24_0"/>
      <w:bookmarkStart w:id="305" w:name="Tc_52VNLCMgkkGr4hQ3eSP0Ig_23_14"/>
      <w:bookmarkStart w:id="306" w:name="Tc_SQtxlUmEsUy5LpWiBnIFbw_23_11"/>
      <w:bookmarkStart w:id="307" w:name="Tc_rOkBIgTvf0GKsuZ7uT_rlQ_23_5"/>
      <w:bookmarkStart w:id="308" w:name="Tc_87jG0vHmi0yD3d16lXGc3w_23_0"/>
      <w:bookmarkStart w:id="309" w:name="Tc_BL47CZquxEabqEIaIoaSrA_22_11"/>
      <w:bookmarkStart w:id="310" w:name="Tc_cUha1JpqU0qcHs_9h9okXA_22_8"/>
      <w:bookmarkStart w:id="311" w:name="Tc_u1bhicGTEUO-1NIWgkFyiQ_22_5"/>
      <w:bookmarkStart w:id="312" w:name="Tc_hj6lbBlafUKUmts5VdQxbg_22_2"/>
      <w:bookmarkStart w:id="313" w:name="Tc_iX2-lUUQKUaW5JfjkfhHhQ_22_0"/>
      <w:bookmarkStart w:id="314" w:name="Tc_ix_FZZlwF06kb_uPtz2f-A_21_14"/>
      <w:bookmarkStart w:id="315" w:name="Tc_2Y-suA9X3UWx1MwsqneOsg_21_8"/>
      <w:bookmarkStart w:id="316" w:name="Tc_IpIKDGtbLU6qP8yoqYu0jA_21_5"/>
      <w:bookmarkStart w:id="317" w:name="Tc_79NScG8IJ0mrTtIvmBZMqA_21_2"/>
      <w:bookmarkStart w:id="318" w:name="Tc_DE5uNoN9h0Oir5oW0_OkHQ_21_0"/>
      <w:bookmarkStart w:id="319" w:name="Tc_6QsNHCmHlkCL31SoHACvwQ_20_16"/>
      <w:bookmarkStart w:id="320" w:name="Tc_pM4ZUBrTqUOiqJ2RdIs8YQ_20_13"/>
      <w:bookmarkStart w:id="321" w:name="Tc_LF3OkN8suEWZNIX7OzdjIQ_20_10"/>
      <w:bookmarkStart w:id="322" w:name="Tc_FSmPyJKp8EKUagzXy87WYQ_20_7"/>
      <w:bookmarkStart w:id="323" w:name="Tc_heFm2ZEG0U6_-xfWJbUIUQ_20_4"/>
      <w:bookmarkStart w:id="324" w:name="Tc_sr_CCulAs0-bxP9ZAjaWIg_20_0"/>
      <w:bookmarkStart w:id="325" w:name="Tc__3Qub7jQVUSe0pP9Fs1gEw_19_16"/>
      <w:bookmarkStart w:id="326" w:name="Tc_VvTCEeKt60a5VM53E9b8Cw_19_13"/>
      <w:bookmarkStart w:id="327" w:name="Tc_qusuz54N1k6tsghn1qli3Q_19_10"/>
      <w:bookmarkStart w:id="328" w:name="Tc_-TKqtYL7mEilffGCT3_p1g_19_7"/>
      <w:bookmarkStart w:id="329" w:name="Tc_pbK9hpK_9kOGTQJlpy0c_Q_19_4"/>
      <w:bookmarkStart w:id="330" w:name="Tc_kENYGC_h-EWbmuI1wEcO_w_19_2"/>
      <w:bookmarkStart w:id="331" w:name="Tc_URMH4wb2n0mECiUKYVilTw_18_13"/>
      <w:bookmarkStart w:id="332" w:name="Tc_kcb04IZUmEaCUKLau6ny4w_18_10"/>
      <w:bookmarkStart w:id="333" w:name="Tc_Mi3pSZiry0qfwj9HHj6UjQ_18_7"/>
      <w:bookmarkStart w:id="334" w:name="Tc_o8zjtnwRxk-LcSQSDe-kjQ_18_2"/>
      <w:bookmarkStart w:id="335" w:name="Tc_fGcZk2RCFEeaKXlFFhaNEw_17_13"/>
      <w:bookmarkStart w:id="336" w:name="Tc_C1rOuSZMa0GeuZswdaixwA_17_7"/>
      <w:bookmarkStart w:id="337" w:name="Tc_LEXUhr3Up0iqUvy2rIXkbg_16_13"/>
      <w:bookmarkStart w:id="338" w:name="Tc_S-IBPwMgl0yk-qCHGqUbew_14_16"/>
      <w:bookmarkStart w:id="339" w:name="Tc_SIR8PAAsDk-PvoEjL0uSyQ_14_13"/>
      <w:bookmarkStart w:id="340" w:name="Tc_EhwH91dAyEecfBu5BBentw_14_10"/>
      <w:bookmarkStart w:id="341" w:name="Tc_ZNUBXaeLMEyEYR9vLVxc6w_14_7"/>
      <w:bookmarkStart w:id="342" w:name="Tc_ycBx_yF7_0inOXOasuR8Vw_14_4"/>
      <w:bookmarkStart w:id="343" w:name="Tc_iN3LUrpQsk2G3EQUg8V3Ew_14_0"/>
      <w:bookmarkStart w:id="344" w:name="Tc_QpccxWGXzEOqm2yqSXyxuQ_13_14"/>
      <w:bookmarkStart w:id="345" w:name="Tc_Xh8hrSk_tUq6_G9fmFZj3A_13_11"/>
      <w:bookmarkStart w:id="346" w:name="Tc_KU47v1sz-U2iB9VkTTQdIg_13_5"/>
      <w:bookmarkStart w:id="347" w:name="Tc_j7nvjn-3aEOKSLw2TVyG9A_13_2"/>
      <w:bookmarkStart w:id="348" w:name="Tc_Ptd7QCjtoU-6MhRXXDk5SA_13_0"/>
      <w:bookmarkStart w:id="349" w:name="Tc_2E8iUoft8EqHrBTXFz8H8Q_12_14"/>
      <w:bookmarkStart w:id="350" w:name="Tc_RYvxxxrY1EOhBuMgLtgBTA_12_11"/>
      <w:bookmarkStart w:id="351" w:name="Tc_Jr8KcC9KsECBFfp9eGJ7aA_12_5"/>
      <w:bookmarkStart w:id="352" w:name="Tc_Hc_kWCfEH0uBXxz6TEiOcw_12_0"/>
      <w:bookmarkStart w:id="353" w:name="Tc_fjKKia9weUKHyqaGxVfLbg_11_17"/>
      <w:bookmarkStart w:id="354" w:name="Tc_xfI1gZcY50ONMh_eMdFJnw_11_14"/>
      <w:bookmarkStart w:id="355" w:name="Tc_8A9viHacXEKIcga9VpeOQQ_11_11"/>
      <w:bookmarkStart w:id="356" w:name="Tc_Xh-_uX6M3EGaEjNvz0gRrg_11_8"/>
      <w:bookmarkStart w:id="357" w:name="Tc_K3ZYnF88hES7zQWNMxfqLA_11_5"/>
      <w:bookmarkStart w:id="358" w:name="Tc_doAEcKec2UW5d2XvAv2rJA_11_0"/>
      <w:bookmarkStart w:id="359" w:name="Tc_1L9Xa1Pja0G2SKtTtCW0oA_10_17"/>
      <w:bookmarkStart w:id="360" w:name="Tc_Hn23obIO8EePG-JahEfC0Q_10_14"/>
      <w:bookmarkStart w:id="361" w:name="Tc_YMo8q0JQiEqgrHhuVzWj0g_10_11"/>
      <w:bookmarkStart w:id="362" w:name="Tc_mmx-I2DhZ0aiToUVNQVKFw_10_8"/>
      <w:bookmarkStart w:id="363" w:name="Tc_OEUYFK7Z8EKXf_jXeAPXLA_10_5"/>
      <w:bookmarkStart w:id="364" w:name="Tc_In5khttmTkOfcnxknLMqfQ_10_0"/>
      <w:bookmarkStart w:id="365" w:name="Tc_BKbGfvPMC0uqw8eBk5CHrQ_9_14"/>
      <w:bookmarkStart w:id="366" w:name="Tc_c4HZ8CIeK0moPiLEoEftxw_9_11"/>
      <w:bookmarkStart w:id="367" w:name="Tc_se6YVn9riUGkpFnYEVZyHg_9_5"/>
      <w:bookmarkStart w:id="368" w:name="Tc_Tjup0F5D_Uy1Y9QbJdthnA_9_0"/>
      <w:bookmarkStart w:id="369" w:name="Tc_qIUfqD60m0yO60GqHXwewg_8_11"/>
      <w:bookmarkStart w:id="370" w:name="Tc_amub725vvEOM22KcyMbakw_8_8"/>
      <w:bookmarkStart w:id="371" w:name="Tc_82YHl2T_d0i29lxnITQbVQ_8_5"/>
      <w:bookmarkStart w:id="372" w:name="Tc_6gs2BoVQ_EW4VgxVwL4AVw_8_2"/>
      <w:bookmarkStart w:id="373" w:name="Tc_KU6CfnZsyEirW2fk-KMpbw_8_0"/>
      <w:bookmarkStart w:id="374" w:name="Tc_D_otVHSj30qVr8goFu06Ow_7_11"/>
      <w:bookmarkStart w:id="375" w:name="Tc_UfIU5BMSKkq9tdTSJWOKkA_7_8"/>
      <w:bookmarkStart w:id="376" w:name="Tc_Bill-ZXAZEiCniSibJU1iA_7_5"/>
      <w:bookmarkStart w:id="377" w:name="Tc_FIt3BmecrkaU6FD8dJU2mg_7_2"/>
      <w:bookmarkStart w:id="378" w:name="Tc_8UWxzVPYak-sLTer-bUHjg_7_0"/>
      <w:bookmarkStart w:id="379" w:name="Tc_Hmsf1jxh-U2nYRnT0ulv5w_6_14"/>
      <w:bookmarkStart w:id="380" w:name="Tc_bgjOHOKfUEq3N35EiYKrcg_6_8"/>
      <w:bookmarkStart w:id="381" w:name="Tc_VJ_oDZ6lwkinUUHdMOTEFQ_6_5"/>
      <w:bookmarkStart w:id="382" w:name="Tc_nCaQiYd17UixsGo4fMeVRg_6_2"/>
      <w:bookmarkStart w:id="383" w:name="Tc_cUtAp09cL0a7cYXUHrtoPQ_6_0"/>
      <w:bookmarkStart w:id="384" w:name="Tc_mhCk8E7HNk6xj7y1J8mTTQ_5_16"/>
      <w:bookmarkStart w:id="385" w:name="Tc_slkipdKeEUmui_jM3r6vew_5_13"/>
      <w:bookmarkStart w:id="386" w:name="Tc_mLVtDAZhVEKImQBeynvFHA_5_10"/>
      <w:bookmarkStart w:id="387" w:name="Tc_DX8y5zfMpk6cUjuBQnz5rA_5_7"/>
      <w:bookmarkStart w:id="388" w:name="Tc_eaN5d5paGE6L_i3iXHpoeQ_5_4"/>
      <w:bookmarkStart w:id="389" w:name="Tc_Ov_O7R5W3UaGu_RQP4onhQ_5_0"/>
      <w:bookmarkStart w:id="390" w:name="Tc_4PVQ8u8l60qdEN8XJGyMyw_4_16"/>
      <w:bookmarkStart w:id="391" w:name="Tc_sMJ8M3YGeUW2mMTYUP9y0A_4_13"/>
      <w:bookmarkStart w:id="392" w:name="Tc_CnfsRLfWR0y2lfsd1mkWAg_4_10"/>
      <w:bookmarkStart w:id="393" w:name="Tc_PMZnmM1cIkeO5JChfiI8KQ_4_7"/>
      <w:bookmarkStart w:id="394" w:name="Tc_ndiRsv2KykGlgIIIVn73KQ_4_4"/>
      <w:bookmarkStart w:id="395" w:name="Tc_9ADo1omMy02GRC6fO0Q0fg_4_2"/>
      <w:bookmarkStart w:id="396" w:name="Tc_-fedzLDH-UWEPg-hFKP8kA_3_13"/>
      <w:bookmarkStart w:id="397" w:name="Tc_Ar5wefXDlU2TUrh_LcK-Tw_3_10"/>
      <w:bookmarkStart w:id="398" w:name="Tc_v6GWx8B_B0GAJqdKppQvKw_3_7"/>
      <w:bookmarkStart w:id="399" w:name="Tc_0xuw1HED00uEBphpGt-yTA_3_2"/>
      <w:bookmarkStart w:id="400" w:name="Tc_h6N0I1CaHEKve9WRgFmu3Q_2_13"/>
      <w:bookmarkStart w:id="401" w:name="Tc_739hJ9ivckuAsy8jADD4VQ_2_7"/>
      <w:bookmarkStart w:id="402" w:name="Tc_WBPu5X-fFEutmV4Z6GpjrQ_1_13"/>
      <w:bookmarkStart w:id="403" w:name="_5d0e1c64_8977_461a_89a1_a07492d71c49"/>
      <w:bookmarkStart w:id="404" w:name="Tc_rd7peJnFBEO-zcX1VKnH4Q_30_16"/>
      <w:bookmarkStart w:id="405" w:name="Tc_t38EzBH8AkiJUSPeFCanwQ_30_13"/>
      <w:bookmarkStart w:id="406" w:name="Tc_gWg2cuAJgUaMaml4SYz92g_30_10"/>
      <w:bookmarkStart w:id="407" w:name="Tc_YTPfRzj9-0K3FGrKf_TwRQ_30_7"/>
      <w:bookmarkStart w:id="408" w:name="Tc_IDQHn8HUjU-Y2QfVB4iGGw_30_4"/>
      <w:bookmarkStart w:id="409" w:name="Tc_Lpc2H4rSeUS1OJzdVeCIjA_30_0"/>
      <w:bookmarkStart w:id="410" w:name="Tc_nCuDsrCuZUy9Ixib5X8ytg_29_14"/>
      <w:bookmarkStart w:id="411" w:name="Tc_-ZYR-qpy6kuCBMAv69tqDg_29_11"/>
      <w:bookmarkStart w:id="412" w:name="Tc_B4X2kemaoUqUElp3SrsQCQ_29_5"/>
      <w:bookmarkStart w:id="413" w:name="Tc_IqYHF6M2d0uN7IQljn7GYA_29_2"/>
      <w:bookmarkStart w:id="414" w:name="Tc_GKYqeNl790arTWCSELDhtw_29_0"/>
      <w:bookmarkStart w:id="415" w:name="Tc_RkaukuHejUyu0YD1Tj78dg_28_14"/>
      <w:bookmarkStart w:id="416" w:name="Tc_0hvGoOWI70WcozA-g-0DrA_28_11"/>
      <w:bookmarkStart w:id="417" w:name="Tc_dzdj_2g35U2XPCF9N-HKCw_28_5"/>
      <w:bookmarkStart w:id="418" w:name="Tc_XplE_KHJXUe9XLOl8vaXdw_28_0"/>
      <w:bookmarkStart w:id="419" w:name="Tc_Fp8vrFV4VUGmeJsB8x6_JA_27_14"/>
      <w:bookmarkStart w:id="420" w:name="Tc_Sfa2XbIzt0m_9tBZedHNgw_27_11"/>
      <w:bookmarkStart w:id="421" w:name="Tc_11w4qZ8Td0S2adzIgoa3Pg_27_0"/>
      <w:bookmarkStart w:id="422" w:name="Tc_QyctK0rT6UWF2IkwPxaSUQ_26_14"/>
      <w:bookmarkStart w:id="423" w:name="Tc_lzCTqedliE-mufItTCGbUA_26_11"/>
      <w:bookmarkStart w:id="424" w:name="Tc_Z5yBwyrnLUWb5RqDDfRRzA_26_5"/>
      <w:bookmarkStart w:id="425" w:name="Tc_M31kShAS0UegvutyuXB9Fg_26_0"/>
      <w:bookmarkStart w:id="426" w:name="Tc_Wv8hxblewEeTg7eZ_iYiLA_25_17"/>
      <w:bookmarkStart w:id="427" w:name="Tc_77ep5UeBsEy54N5ZGZMEeg_25_14"/>
      <w:bookmarkStart w:id="428" w:name="Tc_Mti62N7loE61oznefcNSuA_25_11"/>
      <w:bookmarkStart w:id="429" w:name="Tc_b6tfhYhTMEu2oRAneO1w9w_25_8"/>
      <w:bookmarkStart w:id="430" w:name="Tc_026ZLvsWBkWUNHSZV01wyA_25_5"/>
      <w:bookmarkStart w:id="431" w:name="Tc_YL9ZLz36Sku05iyhmqyfOA_25_0"/>
      <w:bookmarkStart w:id="432" w:name="Tc_oQuoyDUVAEKyPfqnxSnhhA_24_17"/>
      <w:bookmarkStart w:id="433" w:name="Tc_60Y-5R4-NkqHGMhUizyMmg_24_14"/>
      <w:bookmarkStart w:id="434" w:name="Tc_B3qjFJBoZ0iSq25wE6tkNg_24_11"/>
      <w:bookmarkStart w:id="435" w:name="Tc_XuKUE_QJZEOoWy1pOUJx0w_24_8"/>
      <w:bookmarkStart w:id="436" w:name="Tc_5WayWfbhgEydkuiTrgmG9A_24_5"/>
      <w:bookmarkStart w:id="437" w:name="Tc_WEBuKyCCakuXoK0nwiQ9xQ_24_0"/>
      <w:bookmarkStart w:id="438" w:name="Tc_52VNLCMgkkGr4hQ3eSP0Ig_23_14"/>
      <w:bookmarkStart w:id="439" w:name="Tc_SQtxlUmEsUy5LpWiBnIFbw_23_11"/>
      <w:bookmarkStart w:id="440" w:name="Tc_rOkBIgTvf0GKsuZ7uT_rlQ_23_5"/>
      <w:bookmarkStart w:id="441" w:name="Tc_87jG0vHmi0yD3d16lXGc3w_23_0"/>
      <w:bookmarkStart w:id="442" w:name="Tc_BL47CZquxEabqEIaIoaSrA_22_11"/>
      <w:bookmarkStart w:id="443" w:name="Tc_cUha1JpqU0qcHs_9h9okXA_22_8"/>
      <w:bookmarkStart w:id="444" w:name="Tc_u1bhicGTEUO-1NIWgkFyiQ_22_5"/>
      <w:bookmarkStart w:id="445" w:name="Tc_hj6lbBlafUKUmts5VdQxbg_22_2"/>
      <w:bookmarkStart w:id="446" w:name="Tc_iX2-lUUQKUaW5JfjkfhHhQ_22_0"/>
      <w:bookmarkStart w:id="447" w:name="Tc_ix_FZZlwF06kb_uPtz2f-A_21_14"/>
      <w:bookmarkStart w:id="448" w:name="Tc_2Y-suA9X3UWx1MwsqneOsg_21_8"/>
      <w:bookmarkStart w:id="449" w:name="Tc_IpIKDGtbLU6qP8yoqYu0jA_21_5"/>
      <w:bookmarkStart w:id="450" w:name="Tc_79NScG8IJ0mrTtIvmBZMqA_21_2"/>
      <w:bookmarkStart w:id="451" w:name="Tc_DE5uNoN9h0Oir5oW0_OkHQ_21_0"/>
      <w:bookmarkStart w:id="452" w:name="Tc_6QsNHCmHlkCL31SoHACvwQ_20_16"/>
      <w:bookmarkStart w:id="453" w:name="Tc_pM4ZUBrTqUOiqJ2RdIs8YQ_20_13"/>
      <w:bookmarkStart w:id="454" w:name="Tc_LF3OkN8suEWZNIX7OzdjIQ_20_10"/>
      <w:bookmarkStart w:id="455" w:name="Tc_FSmPyJKp8EKUagzXy87WYQ_20_7"/>
      <w:bookmarkStart w:id="456" w:name="Tc_heFm2ZEG0U6_-xfWJbUIUQ_20_4"/>
      <w:bookmarkStart w:id="457" w:name="Tc_sr_CCulAs0-bxP9ZAjaWIg_20_0"/>
      <w:bookmarkStart w:id="458" w:name="Tc__3Qub7jQVUSe0pP9Fs1gEw_19_16"/>
      <w:bookmarkStart w:id="459" w:name="Tc_VvTCEeKt60a5VM53E9b8Cw_19_13"/>
      <w:bookmarkStart w:id="460" w:name="Tc_qusuz54N1k6tsghn1qli3Q_19_10"/>
      <w:bookmarkStart w:id="461" w:name="Tc_-TKqtYL7mEilffGCT3_p1g_19_7"/>
      <w:bookmarkStart w:id="462" w:name="Tc_pbK9hpK_9kOGTQJlpy0c_Q_19_4"/>
      <w:bookmarkStart w:id="463" w:name="Tc_kENYGC_h-EWbmuI1wEcO_w_19_2"/>
      <w:bookmarkStart w:id="464" w:name="Tc_URMH4wb2n0mECiUKYVilTw_18_13"/>
      <w:bookmarkStart w:id="465" w:name="Tc_kcb04IZUmEaCUKLau6ny4w_18_10"/>
      <w:bookmarkStart w:id="466" w:name="Tc_Mi3pSZiry0qfwj9HHj6UjQ_18_7"/>
      <w:bookmarkStart w:id="467" w:name="Tc_o8zjtnwRxk-LcSQSDe-kjQ_18_2"/>
      <w:bookmarkStart w:id="468" w:name="Tc_fGcZk2RCFEeaKXlFFhaNEw_17_13"/>
      <w:bookmarkStart w:id="469" w:name="Tc_C1rOuSZMa0GeuZswdaixwA_17_7"/>
      <w:bookmarkStart w:id="470" w:name="Tc_LEXUhr3Up0iqUvy2rIXkbg_16_13"/>
      <w:bookmarkStart w:id="471" w:name="Tc_S-IBPwMgl0yk-qCHGqUbew_14_16"/>
      <w:bookmarkStart w:id="472" w:name="Tc_SIR8PAAsDk-PvoEjL0uSyQ_14_13"/>
      <w:bookmarkStart w:id="473" w:name="Tc_EhwH91dAyEecfBu5BBentw_14_10"/>
      <w:bookmarkStart w:id="474" w:name="Tc_ZNUBXaeLMEyEYR9vLVxc6w_14_7"/>
      <w:bookmarkStart w:id="475" w:name="Tc_ycBx_yF7_0inOXOasuR8Vw_14_4"/>
      <w:bookmarkStart w:id="476" w:name="Tc_iN3LUrpQsk2G3EQUg8V3Ew_14_0"/>
      <w:bookmarkStart w:id="477" w:name="Tc_QpccxWGXzEOqm2yqSXyxuQ_13_14"/>
      <w:bookmarkStart w:id="478" w:name="Tc_Xh8hrSk_tUq6_G9fmFZj3A_13_11"/>
      <w:bookmarkStart w:id="479" w:name="Tc_KU47v1sz-U2iB9VkTTQdIg_13_5"/>
      <w:bookmarkStart w:id="480" w:name="Tc_j7nvjn-3aEOKSLw2TVyG9A_13_2"/>
      <w:bookmarkStart w:id="481" w:name="Tc_Ptd7QCjtoU-6MhRXXDk5SA_13_0"/>
      <w:bookmarkStart w:id="482" w:name="Tc_2E8iUoft8EqHrBTXFz8H8Q_12_14"/>
      <w:bookmarkStart w:id="483" w:name="Tc_RYvxxxrY1EOhBuMgLtgBTA_12_11"/>
      <w:bookmarkStart w:id="484" w:name="Tc_Jr8KcC9KsECBFfp9eGJ7aA_12_5"/>
      <w:bookmarkStart w:id="485" w:name="Tc_Hc_kWCfEH0uBXxz6TEiOcw_12_0"/>
      <w:bookmarkStart w:id="486" w:name="Tc_fjKKia9weUKHyqaGxVfLbg_11_17"/>
      <w:bookmarkStart w:id="487" w:name="Tc_xfI1gZcY50ONMh_eMdFJnw_11_14"/>
      <w:bookmarkStart w:id="488" w:name="Tc_8A9viHacXEKIcga9VpeOQQ_11_11"/>
      <w:bookmarkStart w:id="489" w:name="Tc_Xh-_uX6M3EGaEjNvz0gRrg_11_8"/>
      <w:bookmarkStart w:id="490" w:name="Tc_K3ZYnF88hES7zQWNMxfqLA_11_5"/>
      <w:bookmarkStart w:id="491" w:name="Tc_doAEcKec2UW5d2XvAv2rJA_11_0"/>
      <w:bookmarkStart w:id="492" w:name="Tc_1L9Xa1Pja0G2SKtTtCW0oA_10_17"/>
      <w:bookmarkStart w:id="493" w:name="Tc_Hn23obIO8EePG-JahEfC0Q_10_14"/>
      <w:bookmarkStart w:id="494" w:name="Tc_YMo8q0JQiEqgrHhuVzWj0g_10_11"/>
      <w:bookmarkStart w:id="495" w:name="Tc_mmx-I2DhZ0aiToUVNQVKFw_10_8"/>
      <w:bookmarkStart w:id="496" w:name="Tc_OEUYFK7Z8EKXf_jXeAPXLA_10_5"/>
      <w:bookmarkStart w:id="497" w:name="Tc_In5khttmTkOfcnxknLMqfQ_10_0"/>
      <w:bookmarkStart w:id="498" w:name="Tc_BKbGfvPMC0uqw8eBk5CHrQ_9_14"/>
      <w:bookmarkStart w:id="499" w:name="Tc_c4HZ8CIeK0moPiLEoEftxw_9_11"/>
      <w:bookmarkStart w:id="500" w:name="Tc_se6YVn9riUGkpFnYEVZyHg_9_5"/>
      <w:bookmarkStart w:id="501" w:name="Tc_Tjup0F5D_Uy1Y9QbJdthnA_9_0"/>
      <w:bookmarkStart w:id="502" w:name="Tc_qIUfqD60m0yO60GqHXwewg_8_11"/>
      <w:bookmarkStart w:id="503" w:name="Tc_amub725vvEOM22KcyMbakw_8_8"/>
      <w:bookmarkStart w:id="504" w:name="Tc_82YHl2T_d0i29lxnITQbVQ_8_5"/>
      <w:bookmarkStart w:id="505" w:name="Tc_6gs2BoVQ_EW4VgxVwL4AVw_8_2"/>
      <w:bookmarkStart w:id="506" w:name="Tc_KU6CfnZsyEirW2fk-KMpbw_8_0"/>
      <w:bookmarkStart w:id="507" w:name="Tc_D_otVHSj30qVr8goFu06Ow_7_11"/>
      <w:bookmarkStart w:id="508" w:name="Tc_UfIU5BMSKkq9tdTSJWOKkA_7_8"/>
      <w:bookmarkStart w:id="509" w:name="Tc_Bill-ZXAZEiCniSibJU1iA_7_5"/>
      <w:bookmarkStart w:id="510" w:name="Tc_FIt3BmecrkaU6FD8dJU2mg_7_2"/>
      <w:bookmarkStart w:id="511" w:name="Tc_8UWxzVPYak-sLTer-bUHjg_7_0"/>
      <w:bookmarkStart w:id="512" w:name="Tc_Hmsf1jxh-U2nYRnT0ulv5w_6_14"/>
      <w:bookmarkStart w:id="513" w:name="Tc_bgjOHOKfUEq3N35EiYKrcg_6_8"/>
      <w:bookmarkStart w:id="514" w:name="Tc_VJ_oDZ6lwkinUUHdMOTEFQ_6_5"/>
      <w:bookmarkStart w:id="515" w:name="Tc_nCaQiYd17UixsGo4fMeVRg_6_2"/>
      <w:bookmarkStart w:id="516" w:name="Tc_cUtAp09cL0a7cYXUHrtoPQ_6_0"/>
      <w:bookmarkStart w:id="517" w:name="Tc_mhCk8E7HNk6xj7y1J8mTTQ_5_16"/>
      <w:bookmarkStart w:id="518" w:name="Tc_slkipdKeEUmui_jM3r6vew_5_13"/>
      <w:bookmarkStart w:id="519" w:name="Tc_mLVtDAZhVEKImQBeynvFHA_5_10"/>
      <w:bookmarkStart w:id="520" w:name="Tc_DX8y5zfMpk6cUjuBQnz5rA_5_7"/>
      <w:bookmarkStart w:id="521" w:name="Tc_eaN5d5paGE6L_i3iXHpoeQ_5_4"/>
      <w:bookmarkStart w:id="522" w:name="Tc_Ov_O7R5W3UaGu_RQP4onhQ_5_0"/>
      <w:bookmarkStart w:id="523" w:name="Tc_4PVQ8u8l60qdEN8XJGyMyw_4_16"/>
      <w:bookmarkStart w:id="524" w:name="Tc_sMJ8M3YGeUW2mMTYUP9y0A_4_13"/>
      <w:bookmarkStart w:id="525" w:name="Tc_CnfsRLfWR0y2lfsd1mkWAg_4_10"/>
      <w:bookmarkStart w:id="526" w:name="Tc_PMZnmM1cIkeO5JChfiI8KQ_4_7"/>
      <w:bookmarkStart w:id="527" w:name="Tc_ndiRsv2KykGlgIIIVn73KQ_4_4"/>
      <w:bookmarkStart w:id="528" w:name="Tc_9ADo1omMy02GRC6fO0Q0fg_4_2"/>
      <w:bookmarkStart w:id="529" w:name="Tc_-fedzLDH-UWEPg-hFKP8kA_3_13"/>
      <w:bookmarkStart w:id="530" w:name="Tc_Ar5wefXDlU2TUrh_LcK-Tw_3_10"/>
      <w:bookmarkStart w:id="531" w:name="Tc_v6GWx8B_B0GAJqdKppQvKw_3_7"/>
      <w:bookmarkStart w:id="532" w:name="Tc_0xuw1HED00uEBphpGt-yTA_3_2"/>
      <w:bookmarkStart w:id="533" w:name="Tc_h6N0I1CaHEKve9WRgFmu3Q_2_13"/>
      <w:bookmarkStart w:id="534" w:name="Tc_739hJ9ivckuAsy8jADD4VQ_2_7"/>
      <w:bookmarkStart w:id="535" w:name="Tc_WBPu5X-fFEutmV4Z6GpjrQ_1_13"/>
      <w:bookmarkStart w:id="536" w:name="_5d0e1c64_8977_461a_89a1_a07492d71c49"/>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tbl>
      <w:tblPr>
        <w:tblW w:w="10205" w:type="dxa"/>
        <w:jc w:val="left"/>
        <w:tblInd w:w="0" w:type="dxa"/>
        <w:tblLayout w:type="fixed"/>
        <w:tblCellMar>
          <w:top w:w="0" w:type="dxa"/>
          <w:left w:w="0" w:type="dxa"/>
          <w:bottom w:w="0" w:type="dxa"/>
          <w:right w:w="0" w:type="dxa"/>
        </w:tblCellMar>
      </w:tblPr>
      <w:tblGrid>
        <w:gridCol w:w="2821"/>
        <w:gridCol w:w="346"/>
        <w:gridCol w:w="916"/>
        <w:gridCol w:w="346"/>
        <w:gridCol w:w="206"/>
        <w:gridCol w:w="365"/>
        <w:gridCol w:w="346"/>
        <w:gridCol w:w="196"/>
        <w:gridCol w:w="826"/>
        <w:gridCol w:w="346"/>
        <w:gridCol w:w="196"/>
        <w:gridCol w:w="703"/>
        <w:gridCol w:w="346"/>
        <w:gridCol w:w="260"/>
        <w:gridCol w:w="761"/>
        <w:gridCol w:w="109"/>
        <w:gridCol w:w="196"/>
        <w:gridCol w:w="920"/>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791335" cy="175260"/>
                      <wp:effectExtent l="0" t="0" r="0" b="0"/>
                      <wp:wrapNone/>
                      <wp:docPr id="28" name="Frame28"/>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81660" cy="175260"/>
                      <wp:effectExtent l="0" t="0" r="0" b="0"/>
                      <wp:wrapNone/>
                      <wp:docPr id="30" name="Frame30"/>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0810" cy="175260"/>
                      <wp:effectExtent l="0" t="0" r="0" b="0"/>
                      <wp:wrapNone/>
                      <wp:docPr id="32" name="Frame32"/>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31775" cy="175260"/>
                      <wp:effectExtent l="0" t="0" r="0" b="0"/>
                      <wp:wrapNone/>
                      <wp:docPr id="33" name="Frame33"/>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24510" cy="175260"/>
                      <wp:effectExtent l="0" t="0" r="0" b="0"/>
                      <wp:wrapNone/>
                      <wp:docPr id="36" name="Frame3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46405" cy="175260"/>
                      <wp:effectExtent l="0" t="0" r="0" b="0"/>
                      <wp:wrapNone/>
                      <wp:docPr id="39" name="Frame39"/>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40"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65100" cy="175260"/>
                      <wp:effectExtent l="0" t="0" r="0" b="0"/>
                      <wp:wrapNone/>
                      <wp:docPr id="41" name="Frame41"/>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83235" cy="175260"/>
                      <wp:effectExtent l="0" t="0" r="0" b="0"/>
                      <wp:wrapNone/>
                      <wp:docPr id="42" name="Frame42"/>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84200" cy="175260"/>
                      <wp:effectExtent l="0" t="0" r="0" b="0"/>
                      <wp:wrapNone/>
                      <wp:docPr id="45" name="Frame45"/>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20" w:type="dxa"/>
            <w:tcBorders/>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89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April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50,610,514</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4,396,845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9,184</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(5,635)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4,400,400</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stock purchase plan contributions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38,982</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5,475</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193,491</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(9,181)</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(10,843)</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(9,563)</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August 1, 2026</w:t>
            </w:r>
          </w:p>
        </w:tc>
        <w:tc>
          <w:tcPr>
            <w:tcW w:w="34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50,822,963</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4,397,684</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4,118</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(5,753)</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4,396,055</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920" w:type="dxa"/>
            <w:tcBorders/>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4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0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3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before="0" w:after="0"/>
              <w:ind w:left="0" w:right="0" w:hanging="0"/>
              <w:jc w:val="center"/>
              <w:rPr/>
            </w:pPr>
            <w:r>
              <w:rPr/>
              <w:t>​</w:t>
            </w:r>
          </w:p>
        </w:tc>
        <w:tc>
          <w:tcPr>
            <w:tcW w:w="89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before="0" w:after="0"/>
              <w:ind w:left="0" w:right="0" w:hanging="0"/>
              <w:jc w:val="center"/>
              <w:rPr/>
            </w:pPr>
            <w:r>
              <w:rPr/>
              <w:t>  ​ ​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center"/>
              <w:rPr/>
            </w:pPr>
            <w:r>
              <w:rPr/>
              <w:t>  ​ ​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1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April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28,267,517</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618,711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274,306</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(6,514)</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886,507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(67,370)</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(67,370)</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stock purchase plan contributions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18,555</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2,467</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2,467</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173,025</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(2,590)</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8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(7,516)</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acquisitions</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17,425,849</w:t>
            </w:r>
          </w:p>
        </w:tc>
        <w:tc>
          <w:tcPr>
            <w:tcW w:w="34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2,637,345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2,637,347</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net of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4,057,460</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966,846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966,846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4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11,429</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11,429</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August 2, 2025</w:t>
            </w:r>
          </w:p>
        </w:tc>
        <w:tc>
          <w:tcPr>
            <w:tcW w:w="34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49,932,300</w:t>
            </w:r>
          </w:p>
        </w:tc>
        <w:tc>
          <w:tcPr>
            <w:tcW w:w="34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4,226,012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206,936</w:t>
            </w:r>
          </w:p>
        </w:tc>
        <w:tc>
          <w:tcPr>
            <w:tcW w:w="34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(5,875)</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0"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Times New Roman;Times;serif" w:hAnsi="Times New Roman;Times;serif"/>
                <w:sz w:val="16"/>
              </w:rPr>
            </w:pPr>
            <w:r>
              <w:rPr>
                <w:rFonts w:ascii="Times New Roman;Times;serif" w:hAnsi="Times New Roman;Times;serif"/>
                <w:sz w:val="16"/>
              </w:rPr>
              <w:t>4,427,079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4"/>
        </w:rPr>
      </w:pPr>
      <w:bookmarkStart w:id="537" w:name="_d980208b_8ce4_489f_a6f0_7b04f35a455f"/>
      <w:bookmarkEnd w:id="537"/>
      <w:r>
        <w:rPr>
          <w:rFonts w:ascii="Times New Roman;Times;serif" w:hAnsi="Times New Roman;Times;serif"/>
          <w:b/>
          <w:sz w:val="14"/>
        </w:rPr>
        <w:t>AeroVironment, Inc.</w:t>
      </w:r>
    </w:p>
    <w:p>
      <w:pPr>
        <w:pStyle w:val="TextBody"/>
        <w:bidi w:val="0"/>
        <w:spacing w:before="0" w:after="0"/>
        <w:ind w:left="0" w:right="0" w:hanging="0"/>
        <w:jc w:val="center"/>
        <w:rPr>
          <w:rFonts w:ascii="Times New Roman;Times;serif" w:hAnsi="Times New Roman;Times;serif"/>
          <w:sz w:val="14"/>
        </w:rPr>
      </w:pPr>
      <w:bookmarkStart w:id="538" w:name="ConsolidatedStatementsofCashFlows_209255"/>
      <w:bookmarkEnd w:id="538"/>
      <w:r>
        <w:rPr>
          <w:rFonts w:ascii="Times New Roman;Times;serif" w:hAnsi="Times New Roman;Times;serif"/>
          <w:b/>
          <w:sz w:val="14"/>
        </w:rPr>
        <w:t>Condensed Consolidated Statements of Cash Flows (Unaudited)</w:t>
      </w:r>
      <w:r>
        <w:rPr>
          <w:rFonts w:ascii="Times New Roman;Times;serif" w:hAnsi="Times New Roman;Times;serif"/>
          <w:sz w:val="14"/>
        </w:rPr>
        <w:t xml:space="preserve"> </w:t>
      </w:r>
      <w:r>
        <w:rPr>
          <w:rFonts w:ascii="Times New Roman;Times;serif" w:hAnsi="Times New Roman;Times;serif"/>
          <w:b/>
          <w:sz w:val="14"/>
        </w:rPr>
        <w:t>(in thousands)</w:t>
      </w:r>
    </w:p>
    <w:p>
      <w:pPr>
        <w:pStyle w:val="Normal"/>
        <w:bidi w:val="0"/>
        <w:spacing w:before="0" w:after="0"/>
        <w:jc w:val="left"/>
        <w:rPr>
          <w:sz w:val="4"/>
          <w:szCs w:val="4"/>
        </w:rPr>
      </w:pPr>
      <w:r>
        <w:rPr>
          <w:sz w:val="4"/>
          <w:szCs w:val="4"/>
        </w:rPr>
      </w:r>
      <w:bookmarkStart w:id="539" w:name="Tc_g6L7BSEMVECWrlZnQ431Xw_59_5"/>
      <w:bookmarkStart w:id="540" w:name="Tc_mtmtRyr1E0SRFTzq6rFgVg_59_2"/>
      <w:bookmarkStart w:id="541" w:name="Tc_i6T6JERMJE2bUYjTsK6NSQ_59_0"/>
      <w:bookmarkStart w:id="542" w:name="Tc_Ge0CRm6tjUK7xKN9fECCWA_58_5"/>
      <w:bookmarkStart w:id="543" w:name="Tc_nDm6v1fL8EKJqsGpu7j-Uw_58_2"/>
      <w:bookmarkStart w:id="544" w:name="Tc_IEnI4qpmUkahaB3OA7sq6g_58_0"/>
      <w:bookmarkStart w:id="545" w:name="Tc_J3DcXwFvekyCxThYRO3-5g_57_6"/>
      <w:bookmarkStart w:id="546" w:name="Tc_fRjvAmM5yUmff6TfAB4t7w_57_5"/>
      <w:bookmarkStart w:id="547" w:name="Tc_MLMgPMIJ3kGA1PS0yiKgWQ_57_2"/>
      <w:bookmarkStart w:id="548" w:name="Tc_3RpGtc3uyUqvB-1r_sMp6Q_57_0"/>
      <w:bookmarkStart w:id="549" w:name="Tc_nam-mnIx9kaqL2_2dCEvew_56_5"/>
      <w:bookmarkStart w:id="550" w:name="Tc_HjZErUGVEUaDCR8kVNN_Qg_56_3"/>
      <w:bookmarkStart w:id="551" w:name="Tc_xgwcb8OQlEO8U4ca1T1jKQ_56_2"/>
      <w:bookmarkStart w:id="552" w:name="Tc_uX-ROMc99k2eAphtaqVLaA_56_0"/>
      <w:bookmarkStart w:id="553" w:name="Tc_UrPmHHCS_025FLkRvJxXVg_55_0"/>
      <w:bookmarkStart w:id="554" w:name="Tc_tfaHU538ikGUPGxChJmfMg_54_5"/>
      <w:bookmarkStart w:id="555" w:name="Tc_y13xaudl_U24Z6VD03OYcg_54_2"/>
      <w:bookmarkStart w:id="556" w:name="Tc_RFUdNywUukGYKCcALMlhHA_54_0"/>
      <w:bookmarkStart w:id="557" w:name="Tc_MMsA39PD-UOr2gKEuUeBWg_53_5"/>
      <w:bookmarkStart w:id="558" w:name="Tc_nzYb1mpv3E6ZoQw-yZX65A_53_2"/>
      <w:bookmarkStart w:id="559" w:name="Tc_chdHZJniXU-8AglbnQnNrA_53_0"/>
      <w:bookmarkStart w:id="560" w:name="Tc_99Yu3NVPe0CBpqgzQjfDsw_52_0"/>
      <w:bookmarkStart w:id="561" w:name="Tc_zhMcL330qUSVAbCgvr8AXQ_51_0"/>
      <w:bookmarkStart w:id="562" w:name="Tc_FHwFVJILa0-weIQBOfUI8A_50_5"/>
      <w:bookmarkStart w:id="563" w:name="Tc_FUlAt4QYmU-tq1plfAoLIQ_50_2"/>
      <w:bookmarkStart w:id="564" w:name="Tc_Je-W8rONm0GjZtzfB8y_-g_50_0"/>
      <w:bookmarkStart w:id="565" w:name="Tc_LfkptjyBtEKwP7vQfEtURA_49_0"/>
      <w:bookmarkStart w:id="566" w:name="Tc_2lT80ox_XEu1g3auPKd2VA_48_0"/>
      <w:bookmarkStart w:id="567" w:name="Tc_CMxq9EkRa0OWGtOS6jS5bw_47_0"/>
      <w:bookmarkStart w:id="568" w:name="Tc_FT4Hc5BcKEemZzVxVro2iw_46_0"/>
      <w:bookmarkStart w:id="569" w:name="Tc_RGGpMOxBSUKfVuLgYjXKTg_45_0"/>
      <w:bookmarkStart w:id="570" w:name="Tc_Y9WmTNKlbUWk3RdIrBmCiw_44_0"/>
      <w:bookmarkStart w:id="571" w:name="Tc_AJ2Iuh5ux0iQUU69iruFZA_43_0"/>
      <w:bookmarkStart w:id="572" w:name="Tc_La9uzWJkQ064SXawmpg3mA_42_3"/>
      <w:bookmarkStart w:id="573" w:name="Tc_TXtb05RUwkKBAGklWEoDCA_42_0"/>
      <w:bookmarkStart w:id="574" w:name="Tc_4BPMrQyxAky1oEI7z1bFwg_41_3"/>
      <w:bookmarkStart w:id="575" w:name="Tc_2dj6e1RbkkqIUJF-B4PDrA_41_0"/>
      <w:bookmarkStart w:id="576" w:name="Tc_6Ys64U3UQkuaR1S-fEsEBA_40_3"/>
      <w:bookmarkStart w:id="577" w:name="Tc_yPgXIpMeuEOvt0B6yxVwjA_40_0"/>
      <w:bookmarkStart w:id="578" w:name="Tc_AL3VIeT1Sk6ig8__BhcIBw_39_3"/>
      <w:bookmarkStart w:id="579" w:name="Tc_xy3JQb7U8k620CVBcWGshA_39_0"/>
      <w:bookmarkStart w:id="580" w:name="Tc_8OJWCPbf5UaOxcsjQ5vt1Q_38_3"/>
      <w:bookmarkStart w:id="581" w:name="Tc_8AsIklUR80qFbI5lZ13VCA_38_0"/>
      <w:bookmarkStart w:id="582" w:name="Tc_SHtfBRcFXkGsx2Cl75lZ2A_37_3"/>
      <w:bookmarkStart w:id="583" w:name="Tc_ZnVcBWXPKE6rr1Aiu-SiFQ_37_0"/>
      <w:bookmarkStart w:id="584" w:name="Tc_8cYSbcHvi0WZ1JbWQomqlA_36_3"/>
      <w:bookmarkStart w:id="585" w:name="Tc_LxZgIu3zck6uQgJVURTOzg_36_0"/>
      <w:bookmarkStart w:id="586" w:name="Tc_VgeYwF6FiU6GmTEFzQZ03w_35_3"/>
      <w:bookmarkStart w:id="587" w:name="Tc_MUOWQ_KzZUeS0AmDCo9KSA_35_0"/>
      <w:bookmarkStart w:id="588" w:name="Tc_O2KmSS_TuUyDsNuAi1L1_g_34_0"/>
      <w:bookmarkStart w:id="589" w:name="Tc_8fictRLAhkyGlXL9Zzl4HA_33_0"/>
      <w:bookmarkStart w:id="590" w:name="Tc_Kn2hDcatDk2mD2qQMEb-Lg_32_3"/>
      <w:bookmarkStart w:id="591" w:name="Tc_amEye9wfYE-1Ch0B_9viuQ_32_0"/>
      <w:bookmarkStart w:id="592" w:name="Tc_0pmXLwqLQUq-4vapyM_xww_31_6"/>
      <w:bookmarkStart w:id="593" w:name="Tc_b9zsFQ1xJ0WQ4LX8hojrGg_31_0"/>
      <w:bookmarkStart w:id="594" w:name="Tc_CEKG0cW7skmTjjoivz0oiQ_30_6"/>
      <w:bookmarkStart w:id="595" w:name="Tc_NqMflpjLxUOfOz8pBoBRrw_30_0"/>
      <w:bookmarkStart w:id="596" w:name="Tc_bVdbcEAgYU2IeMRMA5HF1g_29_0"/>
      <w:bookmarkStart w:id="597" w:name="Tc_hMmECOz1sUykOou2_GIupA_28_0"/>
      <w:bookmarkStart w:id="598" w:name="Tc_gabyq1-wXEaAjGglwJGTAQ_27_0"/>
      <w:bookmarkStart w:id="599" w:name="Tc_k5FebmSP8ka_-eUrMjIgWw_26_0"/>
      <w:bookmarkStart w:id="600" w:name="Tc_kZ7of9M-W0q2fZt_ZnNWUw_25_0"/>
      <w:bookmarkStart w:id="601" w:name="Tc_W3jNgokhb02uqf9LyaCl7A_24_0"/>
      <w:bookmarkStart w:id="602" w:name="Tc_1F1legWtuEeuv2fLtFJYDw_23_0"/>
      <w:bookmarkStart w:id="603" w:name="Tc_0OZHYl0-mk-eBaPqytED6A_22_0"/>
      <w:bookmarkStart w:id="604" w:name="Tc_5LaZashKLEOhOZY8lVmRag_21_0"/>
      <w:bookmarkStart w:id="605" w:name="Tc_ODo58Rbc6EuYDNcRPL6QmQ_20_0"/>
      <w:bookmarkStart w:id="606" w:name="Tc_qH8Sx-eTd0q9ELkwRdD_qw_19_0"/>
      <w:bookmarkStart w:id="607" w:name="Tc_xH6TrimpJEeftqVQksFZxw_18_0"/>
      <w:bookmarkStart w:id="608" w:name="Tc_5GOM1afWeUScka1ux0tEgw_17_6"/>
      <w:bookmarkStart w:id="609" w:name="Tc_avgyPLdwwEmK-V51WmZ_NQ_17_0"/>
      <w:bookmarkStart w:id="610" w:name="Tc_0BDjbfMrMk-6MouHUTpnlA_16_3"/>
      <w:bookmarkStart w:id="611" w:name="Tc_Tzsxx02jLkKU8AA5_DhZ9A_16_0"/>
      <w:bookmarkStart w:id="612" w:name="Tc_QQSXJ5A6GkCtjuJFzO7o9Q_15_0"/>
      <w:bookmarkStart w:id="613" w:name="Tc_MJTXC1RHV0qMu4OqnIQ5mQ_14_3"/>
      <w:bookmarkStart w:id="614" w:name="Tc_VxFsGkdE5kGXxfQ4w8Qchg_14_0"/>
      <w:bookmarkStart w:id="615" w:name="Tc_DgMIJ9sZSUOc7lTU73KO7g_13_0"/>
      <w:bookmarkStart w:id="616" w:name="Tc_c1Dax_HKP02MwpR_uFMalA_12_0"/>
      <w:bookmarkStart w:id="617" w:name="Tc_VpAdkIrULE-gt-TllqoYpg_11_0"/>
      <w:bookmarkStart w:id="618" w:name="Tc_df2wqJqxAESAnaUwcjXYMQ_10_0"/>
      <w:bookmarkStart w:id="619" w:name="Tc_C8vJ_1gBt0qckj2RAWrhYw_9_0"/>
      <w:bookmarkStart w:id="620" w:name="Tc_txTJKKKvmk23n6Yk-79Cqg_8_0"/>
      <w:bookmarkStart w:id="621" w:name="Tc_I8eDVj6wYUOL1Ahc3S3mEQ_7_0"/>
      <w:bookmarkStart w:id="622" w:name="Tc_etzLxvoJdEqk3toJ5e_9jg_6_0"/>
      <w:bookmarkStart w:id="623" w:name="Tc_Kjh3vegVv0qLJYab0BUaPQ_5_0"/>
      <w:bookmarkStart w:id="624" w:name="Tc_yQUDi4rEgE6SuJ60A515aA_4_5"/>
      <w:bookmarkStart w:id="625" w:name="Tc_VbwAgEhDtk2F6b_bsSXP1g_4_2"/>
      <w:bookmarkStart w:id="626" w:name="Tc_Wa1dwkAgIEqep7zGbqBilg_4_0"/>
      <w:bookmarkStart w:id="627" w:name="Tc_A0AgfMI09Uia43LoPLZ9sA_3_5"/>
      <w:bookmarkStart w:id="628" w:name="Tc_txsNUd5VGUWmKotiMFpv2Q_3_2"/>
      <w:bookmarkStart w:id="629" w:name="Tc_SJy5s7iJLUS8PZ_huk-Knw_3_0"/>
      <w:bookmarkStart w:id="630" w:name="Tc_jiPRE1yrykKLPneIHPqDVg_2_5"/>
      <w:bookmarkStart w:id="631" w:name="Tc_8liKwwCFDkysSuSNHwHEUA_2_2"/>
      <w:bookmarkStart w:id="632" w:name="Tc_zrU-P0dju0KsW4HLsvcpEQ_1_2"/>
      <w:bookmarkStart w:id="633" w:name="_f77a5353_f0a8_4e47_9bd8_bec6eb362742"/>
      <w:bookmarkStart w:id="634" w:name="Tc_g6L7BSEMVECWrlZnQ431Xw_59_5"/>
      <w:bookmarkStart w:id="635" w:name="Tc_mtmtRyr1E0SRFTzq6rFgVg_59_2"/>
      <w:bookmarkStart w:id="636" w:name="Tc_i6T6JERMJE2bUYjTsK6NSQ_59_0"/>
      <w:bookmarkStart w:id="637" w:name="Tc_Ge0CRm6tjUK7xKN9fECCWA_58_5"/>
      <w:bookmarkStart w:id="638" w:name="Tc_nDm6v1fL8EKJqsGpu7j-Uw_58_2"/>
      <w:bookmarkStart w:id="639" w:name="Tc_IEnI4qpmUkahaB3OA7sq6g_58_0"/>
      <w:bookmarkStart w:id="640" w:name="Tc_J3DcXwFvekyCxThYRO3-5g_57_6"/>
      <w:bookmarkStart w:id="641" w:name="Tc_fRjvAmM5yUmff6TfAB4t7w_57_5"/>
      <w:bookmarkStart w:id="642" w:name="Tc_MLMgPMIJ3kGA1PS0yiKgWQ_57_2"/>
      <w:bookmarkStart w:id="643" w:name="Tc_3RpGtc3uyUqvB-1r_sMp6Q_57_0"/>
      <w:bookmarkStart w:id="644" w:name="Tc_nam-mnIx9kaqL2_2dCEvew_56_5"/>
      <w:bookmarkStart w:id="645" w:name="Tc_HjZErUGVEUaDCR8kVNN_Qg_56_3"/>
      <w:bookmarkStart w:id="646" w:name="Tc_xgwcb8OQlEO8U4ca1T1jKQ_56_2"/>
      <w:bookmarkStart w:id="647" w:name="Tc_uX-ROMc99k2eAphtaqVLaA_56_0"/>
      <w:bookmarkStart w:id="648" w:name="Tc_UrPmHHCS_025FLkRvJxXVg_55_0"/>
      <w:bookmarkStart w:id="649" w:name="Tc_tfaHU538ikGUPGxChJmfMg_54_5"/>
      <w:bookmarkStart w:id="650" w:name="Tc_y13xaudl_U24Z6VD03OYcg_54_2"/>
      <w:bookmarkStart w:id="651" w:name="Tc_RFUdNywUukGYKCcALMlhHA_54_0"/>
      <w:bookmarkStart w:id="652" w:name="Tc_MMsA39PD-UOr2gKEuUeBWg_53_5"/>
      <w:bookmarkStart w:id="653" w:name="Tc_nzYb1mpv3E6ZoQw-yZX65A_53_2"/>
      <w:bookmarkStart w:id="654" w:name="Tc_chdHZJniXU-8AglbnQnNrA_53_0"/>
      <w:bookmarkStart w:id="655" w:name="Tc_99Yu3NVPe0CBpqgzQjfDsw_52_0"/>
      <w:bookmarkStart w:id="656" w:name="Tc_zhMcL330qUSVAbCgvr8AXQ_51_0"/>
      <w:bookmarkStart w:id="657" w:name="Tc_FHwFVJILa0-weIQBOfUI8A_50_5"/>
      <w:bookmarkStart w:id="658" w:name="Tc_FUlAt4QYmU-tq1plfAoLIQ_50_2"/>
      <w:bookmarkStart w:id="659" w:name="Tc_Je-W8rONm0GjZtzfB8y_-g_50_0"/>
      <w:bookmarkStart w:id="660" w:name="Tc_LfkptjyBtEKwP7vQfEtURA_49_0"/>
      <w:bookmarkStart w:id="661" w:name="Tc_2lT80ox_XEu1g3auPKd2VA_48_0"/>
      <w:bookmarkStart w:id="662" w:name="Tc_CMxq9EkRa0OWGtOS6jS5bw_47_0"/>
      <w:bookmarkStart w:id="663" w:name="Tc_FT4Hc5BcKEemZzVxVro2iw_46_0"/>
      <w:bookmarkStart w:id="664" w:name="Tc_RGGpMOxBSUKfVuLgYjXKTg_45_0"/>
      <w:bookmarkStart w:id="665" w:name="Tc_Y9WmTNKlbUWk3RdIrBmCiw_44_0"/>
      <w:bookmarkStart w:id="666" w:name="Tc_AJ2Iuh5ux0iQUU69iruFZA_43_0"/>
      <w:bookmarkStart w:id="667" w:name="Tc_La9uzWJkQ064SXawmpg3mA_42_3"/>
      <w:bookmarkStart w:id="668" w:name="Tc_TXtb05RUwkKBAGklWEoDCA_42_0"/>
      <w:bookmarkStart w:id="669" w:name="Tc_4BPMrQyxAky1oEI7z1bFwg_41_3"/>
      <w:bookmarkStart w:id="670" w:name="Tc_2dj6e1RbkkqIUJF-B4PDrA_41_0"/>
      <w:bookmarkStart w:id="671" w:name="Tc_6Ys64U3UQkuaR1S-fEsEBA_40_3"/>
      <w:bookmarkStart w:id="672" w:name="Tc_yPgXIpMeuEOvt0B6yxVwjA_40_0"/>
      <w:bookmarkStart w:id="673" w:name="Tc_AL3VIeT1Sk6ig8__BhcIBw_39_3"/>
      <w:bookmarkStart w:id="674" w:name="Tc_xy3JQb7U8k620CVBcWGshA_39_0"/>
      <w:bookmarkStart w:id="675" w:name="Tc_8OJWCPbf5UaOxcsjQ5vt1Q_38_3"/>
      <w:bookmarkStart w:id="676" w:name="Tc_8AsIklUR80qFbI5lZ13VCA_38_0"/>
      <w:bookmarkStart w:id="677" w:name="Tc_SHtfBRcFXkGsx2Cl75lZ2A_37_3"/>
      <w:bookmarkStart w:id="678" w:name="Tc_ZnVcBWXPKE6rr1Aiu-SiFQ_37_0"/>
      <w:bookmarkStart w:id="679" w:name="Tc_8cYSbcHvi0WZ1JbWQomqlA_36_3"/>
      <w:bookmarkStart w:id="680" w:name="Tc_LxZgIu3zck6uQgJVURTOzg_36_0"/>
      <w:bookmarkStart w:id="681" w:name="Tc_VgeYwF6FiU6GmTEFzQZ03w_35_3"/>
      <w:bookmarkStart w:id="682" w:name="Tc_MUOWQ_KzZUeS0AmDCo9KSA_35_0"/>
      <w:bookmarkStart w:id="683" w:name="Tc_O2KmSS_TuUyDsNuAi1L1_g_34_0"/>
      <w:bookmarkStart w:id="684" w:name="Tc_8fictRLAhkyGlXL9Zzl4HA_33_0"/>
      <w:bookmarkStart w:id="685" w:name="Tc_Kn2hDcatDk2mD2qQMEb-Lg_32_3"/>
      <w:bookmarkStart w:id="686" w:name="Tc_amEye9wfYE-1Ch0B_9viuQ_32_0"/>
      <w:bookmarkStart w:id="687" w:name="Tc_0pmXLwqLQUq-4vapyM_xww_31_6"/>
      <w:bookmarkStart w:id="688" w:name="Tc_b9zsFQ1xJ0WQ4LX8hojrGg_31_0"/>
      <w:bookmarkStart w:id="689" w:name="Tc_CEKG0cW7skmTjjoivz0oiQ_30_6"/>
      <w:bookmarkStart w:id="690" w:name="Tc_NqMflpjLxUOfOz8pBoBRrw_30_0"/>
      <w:bookmarkStart w:id="691" w:name="Tc_bVdbcEAgYU2IeMRMA5HF1g_29_0"/>
      <w:bookmarkStart w:id="692" w:name="Tc_hMmECOz1sUykOou2_GIupA_28_0"/>
      <w:bookmarkStart w:id="693" w:name="Tc_gabyq1-wXEaAjGglwJGTAQ_27_0"/>
      <w:bookmarkStart w:id="694" w:name="Tc_k5FebmSP8ka_-eUrMjIgWw_26_0"/>
      <w:bookmarkStart w:id="695" w:name="Tc_kZ7of9M-W0q2fZt_ZnNWUw_25_0"/>
      <w:bookmarkStart w:id="696" w:name="Tc_W3jNgokhb02uqf9LyaCl7A_24_0"/>
      <w:bookmarkStart w:id="697" w:name="Tc_1F1legWtuEeuv2fLtFJYDw_23_0"/>
      <w:bookmarkStart w:id="698" w:name="Tc_0OZHYl0-mk-eBaPqytED6A_22_0"/>
      <w:bookmarkStart w:id="699" w:name="Tc_5LaZashKLEOhOZY8lVmRag_21_0"/>
      <w:bookmarkStart w:id="700" w:name="Tc_ODo58Rbc6EuYDNcRPL6QmQ_20_0"/>
      <w:bookmarkStart w:id="701" w:name="Tc_qH8Sx-eTd0q9ELkwRdD_qw_19_0"/>
      <w:bookmarkStart w:id="702" w:name="Tc_xH6TrimpJEeftqVQksFZxw_18_0"/>
      <w:bookmarkStart w:id="703" w:name="Tc_5GOM1afWeUScka1ux0tEgw_17_6"/>
      <w:bookmarkStart w:id="704" w:name="Tc_avgyPLdwwEmK-V51WmZ_NQ_17_0"/>
      <w:bookmarkStart w:id="705" w:name="Tc_0BDjbfMrMk-6MouHUTpnlA_16_3"/>
      <w:bookmarkStart w:id="706" w:name="Tc_Tzsxx02jLkKU8AA5_DhZ9A_16_0"/>
      <w:bookmarkStart w:id="707" w:name="Tc_QQSXJ5A6GkCtjuJFzO7o9Q_15_0"/>
      <w:bookmarkStart w:id="708" w:name="Tc_MJTXC1RHV0qMu4OqnIQ5mQ_14_3"/>
      <w:bookmarkStart w:id="709" w:name="Tc_VxFsGkdE5kGXxfQ4w8Qchg_14_0"/>
      <w:bookmarkStart w:id="710" w:name="Tc_DgMIJ9sZSUOc7lTU73KO7g_13_0"/>
      <w:bookmarkStart w:id="711" w:name="Tc_c1Dax_HKP02MwpR_uFMalA_12_0"/>
      <w:bookmarkStart w:id="712" w:name="Tc_VpAdkIrULE-gt-TllqoYpg_11_0"/>
      <w:bookmarkStart w:id="713" w:name="Tc_df2wqJqxAESAnaUwcjXYMQ_10_0"/>
      <w:bookmarkStart w:id="714" w:name="Tc_C8vJ_1gBt0qckj2RAWrhYw_9_0"/>
      <w:bookmarkStart w:id="715" w:name="Tc_txTJKKKvmk23n6Yk-79Cqg_8_0"/>
      <w:bookmarkStart w:id="716" w:name="Tc_I8eDVj6wYUOL1Ahc3S3mEQ_7_0"/>
      <w:bookmarkStart w:id="717" w:name="Tc_etzLxvoJdEqk3toJ5e_9jg_6_0"/>
      <w:bookmarkStart w:id="718" w:name="Tc_Kjh3vegVv0qLJYab0BUaPQ_5_0"/>
      <w:bookmarkStart w:id="719" w:name="Tc_yQUDi4rEgE6SuJ60A515aA_4_5"/>
      <w:bookmarkStart w:id="720" w:name="Tc_VbwAgEhDtk2F6b_bsSXP1g_4_2"/>
      <w:bookmarkStart w:id="721" w:name="Tc_Wa1dwkAgIEqep7zGbqBilg_4_0"/>
      <w:bookmarkStart w:id="722" w:name="Tc_A0AgfMI09Uia43LoPLZ9sA_3_5"/>
      <w:bookmarkStart w:id="723" w:name="Tc_txsNUd5VGUWmKotiMFpv2Q_3_2"/>
      <w:bookmarkStart w:id="724" w:name="Tc_SJy5s7iJLUS8PZ_huk-Knw_3_0"/>
      <w:bookmarkStart w:id="725" w:name="Tc_jiPRE1yrykKLPneIHPqDVg_2_5"/>
      <w:bookmarkStart w:id="726" w:name="Tc_8liKwwCFDkysSuSNHwHEUA_2_2"/>
      <w:bookmarkStart w:id="727" w:name="Tc_zrU-P0dju0KsW4HLsvcpEQ_1_2"/>
      <w:bookmarkStart w:id="728" w:name="_f77a5353_f0a8_4e47_9bd8_bec6eb362742"/>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tbl>
      <w:tblPr>
        <w:tblW w:w="8778" w:type="dxa"/>
        <w:jc w:val="left"/>
        <w:tblInd w:w="0" w:type="dxa"/>
        <w:tblLayout w:type="fixed"/>
        <w:tblCellMar>
          <w:top w:w="0" w:type="dxa"/>
          <w:left w:w="0" w:type="dxa"/>
          <w:bottom w:w="0" w:type="dxa"/>
          <w:right w:w="0" w:type="dxa"/>
        </w:tblCellMar>
      </w:tblPr>
      <w:tblGrid>
        <w:gridCol w:w="5866"/>
        <w:gridCol w:w="346"/>
        <w:gridCol w:w="196"/>
        <w:gridCol w:w="811"/>
        <w:gridCol w:w="346"/>
        <w:gridCol w:w="196"/>
        <w:gridCol w:w="826"/>
        <w:gridCol w:w="191"/>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724910" cy="175260"/>
                      <wp:effectExtent l="0" t="0" r="0" b="0"/>
                      <wp:wrapNone/>
                      <wp:docPr id="46" name="Frame46"/>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8" name="Frame4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14985" cy="175260"/>
                      <wp:effectExtent l="0" t="0" r="0" b="0"/>
                      <wp:wrapNone/>
                      <wp:docPr id="49" name="Frame4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24510" cy="175260"/>
                      <wp:effectExtent l="0" t="0" r="0" b="0"/>
                      <wp:wrapNone/>
                      <wp:docPr id="52" name="Frame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21285" cy="175260"/>
                      <wp:effectExtent l="0" t="0" r="0" b="0"/>
                      <wp:wrapNone/>
                      <wp:docPr id="53" name="Frame5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91" w:type="dxa"/>
            <w:tcBorders/>
            <w:vAlign w:val="center"/>
          </w:tcPr>
          <w:p>
            <w:pPr>
              <w:pStyle w:val="TableContents"/>
              <w:bidi w:val="0"/>
              <w:spacing w:before="0" w:after="0"/>
              <w:ind w:left="0" w:right="0" w:hanging="0"/>
              <w:jc w:val="left"/>
              <w:rPr/>
            </w:pPr>
            <w:r>
              <w:rPr/>
              <w:t> </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007"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102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(5,066)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(67,370)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loss to cash provided by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56,033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90,254</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from equity method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7,829</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credit losses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inventory excess and obsolescence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non-cash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616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7,664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foreign currency transactions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sale of equity securities, net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(2,702)</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11,429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acquisitions: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128,346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Unbilled receivables and retentions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(68,041)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(74,510)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(100,310)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(12,704)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(16,390)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(13,389)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12,820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(29,625)</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(17,810)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(19,734)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13,496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(123,726)</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(44,033)</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(22,728)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capitalized software to be sold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(5,417)</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(9,340)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available-for-sale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(114,578)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 of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55,792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acquisitions, net of cash acquired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(844,580)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(108,236)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(876,648)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revolving credit facility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233,939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term loan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(700,000)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term loan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693,202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revolver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(265,000)</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shares issued, net of underwriter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968,515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convertible debt, net of underwriter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726,944</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debt issuance costs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equity issuance costs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settlement of equity awards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(9,563)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Employee stock purchase plan contributions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5,475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2,467</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1,645,443</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Effects of currency translation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increase in cash and cash equivalents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(98,935)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644,941</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beginning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377,325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40,862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 at end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278,390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685,803</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disclosures of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(received) paid, net during the period for: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11,854</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2,640,365</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foreign currency translation adjustments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639</w:t>
            </w:r>
          </w:p>
        </w:tc>
        <w:tc>
          <w:tcPr>
            <w:tcW w:w="191" w:type="dxa"/>
            <w:tcBorders/>
            <w:vAlign w:val="center"/>
          </w:tcPr>
          <w:p>
            <w:pPr>
              <w:pStyle w:val="TableContents"/>
              <w:bidi w:val="0"/>
              <w:spacing w:before="0" w:after="0"/>
              <w:ind w:left="0" w:right="0" w:hanging="0"/>
              <w:jc w:val="lef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Acquisitions of property and equipment included in 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5,880</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1,951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See accompanying notes to condensed consolidated financial statements (unaudited).</w:t>
      </w:r>
    </w:p>
    <w:p>
      <w:pPr>
        <w:pStyle w:val="TextBody"/>
        <w:bidi w:val="0"/>
        <w:spacing w:before="0" w:after="0"/>
        <w:ind w:left="0" w:right="0" w:hanging="0"/>
        <w:jc w:val="center"/>
        <w:rPr/>
      </w:pPr>
      <w:bookmarkStart w:id="729" w:name="_c627cf8d_e16f_44ce_8899_c455d462faeb"/>
      <w:bookmarkEnd w:id="729"/>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730" w:name="NotestoConsolidatedFinancial_915262"/>
      <w:bookmarkEnd w:id="730"/>
      <w:r>
        <w:rPr>
          <w:rFonts w:ascii="Times New Roman;Times;serif" w:hAnsi="Times New Roman;Times;serif"/>
          <w:b/>
          <w:sz w:val="20"/>
        </w:rPr>
        <w:t>Notes to Condensed Consolidated Financial Statements (Unaudited)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Organization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AeroVironment, Inc., a Delaware corporation (together with its fully-owned subsidiaries, collectively referred to herein as the “Company”), is engaged in the design, development, production, delivery and support of autonomous systems, precision strike systems, Counter-Uncrewed Aircraft Systems (“C-UAS”) technologies, space-based platforms, directed energy systems, and cyber and electronic warfare capabilities. The Company provides these products and services primarily to organizations within or supplying the U.S. Department of Defense (“DoD”), other federal agencies and to international allied governments.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reportable segments are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Autonomous Systems (“AxS”)</w:t>
      </w:r>
      <w:r>
        <w:rPr>
          <w:rFonts w:ascii="Times New Roman;Times;serif" w:hAnsi="Times New Roman;Times;serif"/>
          <w:sz w:val="20"/>
        </w:rPr>
        <w:t>— The AxS segment focuses on the design, development, production, delivery, and support of intelligent, multi-domain robotic systems, including uncrewed aircraft systems (“UAS”), uncrewed underwater vehicles and ground robot systems. The segment includes the Company’s former Uncrewed Systems (“UxS”), Loitering Munitions Systems (“LMS”), and MacCready Works (“MW”) segments as well as Integrated Air and Missile Defense (“IAMD”), Electronic Warfare Systems (“EW”) and Uncrewed Maritime (“UUV”) products and services from the BlueHalo acquisition. This segment encompasses the Company’s core autonomous platforms, such as drones and robotic systems, tailored for mission-critical applications across air, land and sea domains.</w:t>
        <w:b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Space, Cyber, and Directed Energy (“SCDE”)</w:t>
      </w:r>
      <w:r>
        <w:rPr>
          <w:rFonts w:ascii="Times New Roman;Times;serif" w:hAnsi="Times New Roman;Times;serif"/>
          <w:sz w:val="20"/>
        </w:rPr>
        <w:t>— The SCDE segment focuses on advanced technologies in the space domain providing space-based and ground-based platforms, cyber capabilities, and directed energy systems. This segment positions the Company in high-growth areas of next-generation defense technology, addressing emerging threats and mission requirements in space, cyber warfare, and directed energy applications (e.g., high-energy lasers).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August 1, 2026 are not necessarily indicative of the results for the full year ending April 30, 2027. For further information, refer to the consolidated financial statements and footnotes thereto for the year ended April 30, 2026, included in the Company’s Annual Report on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unaudited condensed consolidated financial statements include the assets, liabilities and operating results of wholly-owned subsidiaries. All intercompany accounts and transactions have been eliminated.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 Acquisitions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1, 2025, the Company closed its acquisition of BlueHalo, a Delaware limited liability company, pursuant to the Agreement and Plan of Merger, dated as of November 18, 2024 by and among AV, Archangel Merger Sub LLC,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Delaware limited liability company, BlueHalo, and BlueHalo Holdings Parent, LLC, a Delaware limited liability company and sole member of BlueHalo. Refer to Note 15—Business Acquisitions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16, 2026, the Company closed its acquisition of Empirical Systems Aerospace, Inc. (“ESAero”), a leading producer of UAS and advanced air mobility platforms. ESAero is incorporated into AeroVironment’s AxS segment. Refer to Note 15—Business Acquisitions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adopt any accounting standards during the three months ended August 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prior year amounts have been reclassified to conform to the current year presentation. Specifically, the Company’s prior year disaggregated revenue disclosures and segment information have been reclassified to conform to the current year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cost plus award fee, and cost plus incentive fee (collectively “Cost Plus”), or time and materials (“T&amp;M”). The Company considers all such contracts to be within the scope of Accounting Standards Codification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Performance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1, 2026, the Company had approximately $1,457,822,000 of remaining performance obligations under fully funded contracts with its customers, which the Company also refers to as funded backlog. The Company currently expects to recognize approximately 78% of the remaining performance obligations as revenue in fiscal </w:t>
      </w:r>
      <w:r>
        <w:rPr>
          <w:rFonts w:ascii="Times New Roman;Times;serif" w:hAnsi="Times New Roman;Times;serif"/>
          <w:b w:val="false"/>
          <w:i w:val="false"/>
          <w:caps w:val="false"/>
          <w:smallCaps w:val="false"/>
          <w:sz w:val="20"/>
        </w:rPr>
        <w:t>2027</w:t>
      </w:r>
      <w:r>
        <w:rPr>
          <w:rFonts w:ascii="Times New Roman;Times;serif" w:hAnsi="Times New Roman;Times;serif"/>
          <w:sz w:val="20"/>
        </w:rPr>
        <w:t xml:space="preserve"> and the remaining 22% in fiscal </w:t>
      </w:r>
      <w:r>
        <w:rPr>
          <w:rFonts w:ascii="Times New Roman;Times;serif" w:hAnsi="Times New Roman;Times;serif"/>
          <w:b w:val="false"/>
          <w:i w:val="false"/>
          <w:caps w:val="false"/>
          <w:smallCaps w:val="false"/>
          <w:sz w:val="20"/>
        </w:rPr>
        <w:t>2028</w:t>
      </w:r>
      <w:r>
        <w:rPr>
          <w:rFonts w:ascii="Times New Roman;Times;serif" w:hAnsi="Times New Roman;Times;serif"/>
          <w:sz w:val="20"/>
        </w:rPr>
        <w:t xml:space="preserve"> or beyond.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bookmarkStart w:id="731" w:name="Tc_nnhnlLoXME-8HR9QOkP6bQ_6_0"/>
      <w:bookmarkStart w:id="732" w:name="Tc_6Xjac00L_0GYN_hnNaHwXA_5_0"/>
      <w:bookmarkStart w:id="733" w:name="Tc_5KsKelCaxkedQg4zUCyFpg_4_0"/>
      <w:bookmarkStart w:id="734" w:name="Tc_JidW0naDgkGfB0OM80Y6tQ_3_5"/>
      <w:bookmarkStart w:id="735" w:name="Tc_R-Z32LXrb0u8koRpUc033w_3_2"/>
      <w:bookmarkStart w:id="736" w:name="Tc_kVLKDfKbokKWhUeeNCzy2Q_3_0"/>
      <w:bookmarkStart w:id="737" w:name="Tc_jFOfhBL_MUiVhWRuGLI6xw_2_5"/>
      <w:bookmarkStart w:id="738" w:name="Tc_SHLCrV2QM0eHXdFHzdTTzw_2_2"/>
      <w:bookmarkStart w:id="739" w:name="Tc_F1EEoDM5fk-D6t6a8C4JzQ_1_2"/>
      <w:bookmarkStart w:id="740" w:name="Tc_X3yCNymC6EKnvYPd3UJoFA_13_5"/>
      <w:bookmarkStart w:id="741" w:name="Tc_Ea_5WOheNkiDFWzjGjhzgg_13_2"/>
      <w:bookmarkStart w:id="742" w:name="Tc_3mh-AwnZY0Wn-7s4vXVgDA_13_0"/>
      <w:bookmarkStart w:id="743" w:name="Tc_eEiY24Dm4EizXZL9yvQq5w_12_0"/>
      <w:bookmarkStart w:id="744" w:name="Tc_WghFHbKhyk2rVE03Vfeg5Q_11_5"/>
      <w:bookmarkStart w:id="745" w:name="Tc__8gD6j6H_0mFU1zqDhP27Q_11_2"/>
      <w:bookmarkStart w:id="746" w:name="Tc_kmZ3tPOM_kihGFI0e4COQA_11_0"/>
      <w:bookmarkStart w:id="747" w:name="Tc_3aQ5hYUoC0KIaeE3hFT3Ug_10_5"/>
      <w:bookmarkStart w:id="748" w:name="Tc_CbzmJ4J0vk2eMeI6yb6XGw_10_2"/>
      <w:bookmarkStart w:id="749" w:name="Tc_v-sI1C7g6EqgIHmql54FMw_10_0"/>
      <w:bookmarkStart w:id="750" w:name="Tc_l2pY0aML2k29o_2jamtBMg_9_5"/>
      <w:bookmarkStart w:id="751" w:name="Tc_BwdrW34NG0yQVX00qQs4Mg_9_2"/>
      <w:bookmarkStart w:id="752" w:name="Tc_6pQw1ZDmv0C836kRLv7iOA_8_2"/>
      <w:bookmarkStart w:id="753" w:name="Tc_lC4CFPE4w0Ko2fU6sKdwSw_6_5"/>
      <w:bookmarkStart w:id="754" w:name="Tc_BwLh7f701ES1P5Dokwrw-w_6_2"/>
      <w:bookmarkStart w:id="755" w:name="Tc_l7Xe0TlbKUSl6i9P_-oOIw_6_0"/>
      <w:bookmarkStart w:id="756" w:name="Tc_r2osw-u9Uk-Y-AR4pyp8pg_5_0"/>
      <w:bookmarkStart w:id="757" w:name="Tc_ofzhC3aXrES-5f0m3Vp-MQ_4_5"/>
      <w:bookmarkStart w:id="758" w:name="Tc_FdtLFAijR0SC-KmZb2g4OA_4_2"/>
      <w:bookmarkStart w:id="759" w:name="Tc_6qgybHOpOEeJRSM5DP_nJQ_4_0"/>
      <w:bookmarkStart w:id="760" w:name="Tc_wYsmHMIiWkaWwrzJT0jAMw_3_5"/>
      <w:bookmarkStart w:id="761" w:name="Tc_J3d8_v0Nlk2xSocf0xSNQQ_3_2"/>
      <w:bookmarkStart w:id="762" w:name="Tc_0XX0GTc6_UatybTgcx_LhQ_3_0"/>
      <w:bookmarkStart w:id="763" w:name="Tc_qARBpdoSQUOgrpeCJYBaQA_2_5"/>
      <w:bookmarkStart w:id="764" w:name="Tc_jMcu8eyEsU-XU39S9yr8jA_2_2"/>
      <w:bookmarkStart w:id="765" w:name="Tc_rRhZ7ByM9UumZTHbcqE7JA_1_2"/>
      <w:bookmarkStart w:id="766" w:name="Tc_MgYOD-82L0iGV1bd0NaHzA_7_5"/>
      <w:bookmarkStart w:id="767" w:name="Tc_8KeMjuTB60GIqZ-eMJOx4g_7_2"/>
      <w:bookmarkStart w:id="768" w:name="Tc_TA7ZHvdFxEamYlaEXP1kig_7_0"/>
      <w:bookmarkStart w:id="769" w:name="Tc_nJ_XPM2QZE2Wi0AQSWCKQA_6_0"/>
      <w:bookmarkStart w:id="770" w:name="Tc_hkToyjgnT0Cn8kvCf4CD4w_5_0"/>
      <w:bookmarkStart w:id="771" w:name="Tc_P6Tj7uXJHUGoZQ0XuAgsyw_4_5"/>
      <w:bookmarkStart w:id="772" w:name="Tc_2qW7fkjSJk2FVcQ9FRjbrA_4_2"/>
      <w:bookmarkStart w:id="773" w:name="Tc_EGkhEhC8T0eFGVX3O79GSw_4_0"/>
      <w:bookmarkStart w:id="774" w:name="Tc_pfg48HYy70unoF6aJTiaXQ_3_5"/>
      <w:bookmarkStart w:id="775" w:name="Tc_klIa5EWjyUSGPPwHcMN98g_3_2"/>
      <w:bookmarkStart w:id="776" w:name="Tc_ANM0BCZpaU6mxbc-KCe-iA_3_0"/>
      <w:bookmarkStart w:id="777" w:name="Tc_gK9v1N4f5E-XPrqdB3cD7w_2_5"/>
      <w:bookmarkStart w:id="778" w:name="Tc_GUOH9lhMTkqopE5BwBIGYg_2_2"/>
      <w:bookmarkStart w:id="779" w:name="Tc_Uuda7msCKkeY2dZaNNNFmg_1_2"/>
      <w:bookmarkStart w:id="780" w:name="_e660b9f5_c173_4f56_9fa9_c9353471d59a"/>
      <w:bookmarkStart w:id="781" w:name="Tc__tFv94TVyk6Qz_neWdKCYQ_9_5"/>
      <w:bookmarkStart w:id="782" w:name="Tc_s236Of9KhkOj-DumA3DFVQ_9_2"/>
      <w:bookmarkStart w:id="783" w:name="Tc_KzMnpVt9_UqcrCDakP3L_Q_9_0"/>
      <w:bookmarkStart w:id="784" w:name="Tc_PkfPJasSf0yAyQR1h5PXLw_8_0"/>
      <w:bookmarkStart w:id="785" w:name="Tc_xOMmYPCH2UKqbQRmqXUoSA_7_0"/>
      <w:bookmarkStart w:id="786" w:name="Tc_yiccSkWWv0SplXpeScI1Fw_6_0"/>
      <w:bookmarkStart w:id="787" w:name="Tc_IQkaeeyb6kqofqALhuRydQ_5_0"/>
      <w:bookmarkStart w:id="788" w:name="Tc_4RCs7sXv-ESWx4T1YK8UKw_4_5"/>
      <w:bookmarkStart w:id="789" w:name="Tc_h4U0LYrMP0ufxhwPeqWWeg_4_2"/>
      <w:bookmarkStart w:id="790" w:name="Tc_aNYtzznGY0ynP7RQXhOrnw_4_0"/>
      <w:bookmarkStart w:id="791" w:name="Tc_-s3jGrasyUqPenLCsGC59Q_3_5"/>
      <w:bookmarkStart w:id="792" w:name="Tc_csjNccSukkO22Yictmtr6A_3_2"/>
      <w:bookmarkStart w:id="793" w:name="Tc_Q1Wu1XTwqky25RK7HKhTSQ_3_0"/>
      <w:bookmarkStart w:id="794" w:name="Tc_ZTw9UVlE3kWT9QgjEKn35A_2_5"/>
      <w:bookmarkStart w:id="795" w:name="Tc_3HK606iU40OGcS7aVkQL6g_2_2"/>
      <w:bookmarkStart w:id="796" w:name="Tc_RX7cMTtXmkCzV2G-0W9nDg_1_2"/>
      <w:bookmarkStart w:id="797" w:name="_83d0c477_3feb_4a6a_b647_787e6d2ceac6"/>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imes New Roman;Times;serif" w:hAnsi="Times New Roman;Times;serif"/>
          <w:b/>
          <w:i/>
          <w:sz w:val="20"/>
        </w:rPr>
        <w:t>Revenue by Category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the Company’s revenue disaggregated by operating group, contract type, customer category and geographic location (in thousands).</w:t>
      </w:r>
    </w:p>
    <w:p>
      <w:pPr>
        <w:pStyle w:val="TextBody"/>
        <w:bidi w:val="0"/>
        <w:spacing w:before="0" w:after="0"/>
        <w:ind w:left="0" w:right="0" w:hanging="0"/>
        <w:jc w:val="left"/>
        <w:rPr/>
      </w:pPr>
      <w:r>
        <w:rPr/>
        <w:t>​</w:t>
      </w:r>
    </w:p>
    <w:tbl>
      <w:tblPr>
        <w:tblW w:w="5966" w:type="dxa"/>
        <w:jc w:val="left"/>
        <w:tblInd w:w="0" w:type="dxa"/>
        <w:tblLayout w:type="fixed"/>
        <w:tblCellMar>
          <w:top w:w="0" w:type="dxa"/>
          <w:left w:w="0" w:type="dxa"/>
          <w:bottom w:w="0" w:type="dxa"/>
          <w:right w:w="0" w:type="dxa"/>
        </w:tblCellMar>
      </w:tblPr>
      <w:tblGrid>
        <w:gridCol w:w="3136"/>
        <w:gridCol w:w="346"/>
        <w:gridCol w:w="211"/>
        <w:gridCol w:w="781"/>
        <w:gridCol w:w="346"/>
        <w:gridCol w:w="211"/>
        <w:gridCol w:w="781"/>
        <w:gridCol w:w="154"/>
      </w:tblGrid>
      <w:tr>
        <w:trPr/>
        <w:tc>
          <w:tcPr>
            <w:tcW w:w="31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991360" cy="175260"/>
                      <wp:effectExtent l="0" t="0" r="0" b="0"/>
                      <wp:wrapNone/>
                      <wp:docPr id="54" name="Frame54"/>
                      <a:graphic xmlns:a="http://schemas.openxmlformats.org/drawingml/2006/main">
                        <a:graphicData uri="http://schemas.microsoft.com/office/word/2010/wordprocessingShape">
                          <wps:wsp>
                            <wps:cNvSpPr txBox="1"/>
                            <wps:spPr>
                              <a:xfrm>
                                <a:off x="0" y="0"/>
                                <a:ext cx="1991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55"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95935" cy="175260"/>
                      <wp:effectExtent l="0" t="0" r="0" b="0"/>
                      <wp:wrapNone/>
                      <wp:docPr id="60" name="Frame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97790" cy="175260"/>
                      <wp:effectExtent l="0" t="0" r="0" b="0"/>
                      <wp:wrapNone/>
                      <wp:docPr id="61" name="Frame6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operating group</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Uncrewed Aircraft Systems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Precision Strike and Defense Systems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182,438</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32,643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Space and Directed Energy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51,509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70,966</w:t>
            </w:r>
          </w:p>
        </w:tc>
        <w:tc>
          <w:tcPr>
            <w:tcW w:w="154" w:type="dxa"/>
            <w:tcBorders/>
            <w:vAlign w:val="center"/>
          </w:tcPr>
          <w:p>
            <w:pPr>
              <w:pStyle w:val="TableContents"/>
              <w:bidi w:val="0"/>
              <w:spacing w:before="0" w:after="0"/>
              <w:ind w:left="0" w:right="0" w:hanging="0"/>
              <w:jc w:val="left"/>
              <w:rPr/>
            </w:pPr>
            <w:r>
              <w:rPr/>
              <w:t>​</w:t>
            </w:r>
          </w:p>
        </w:tc>
      </w:tr>
      <w:tr>
        <w:trPr/>
        <w:tc>
          <w:tcPr>
            <w:tcW w:w="31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Cyber and Mission Solutions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83,012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98,386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081" w:type="dxa"/>
        <w:jc w:val="left"/>
        <w:tblInd w:w="0" w:type="dxa"/>
        <w:tblLayout w:type="fixed"/>
        <w:tblCellMar>
          <w:top w:w="0" w:type="dxa"/>
          <w:left w:w="0" w:type="dxa"/>
          <w:bottom w:w="0" w:type="dxa"/>
          <w:right w:w="0" w:type="dxa"/>
        </w:tblCellMar>
      </w:tblPr>
      <w:tblGrid>
        <w:gridCol w:w="2251"/>
        <w:gridCol w:w="346"/>
        <w:gridCol w:w="211"/>
        <w:gridCol w:w="781"/>
        <w:gridCol w:w="346"/>
        <w:gridCol w:w="211"/>
        <w:gridCol w:w="781"/>
        <w:gridCol w:w="154"/>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429385" cy="175260"/>
                      <wp:effectExtent l="0" t="0" r="0" b="0"/>
                      <wp:wrapNone/>
                      <wp:docPr id="62" name="Frame62"/>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64" name="Frame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97790" cy="175260"/>
                      <wp:effectExtent l="0" t="0" r="0" b="0"/>
                      <wp:wrapNone/>
                      <wp:docPr id="69" name="Frame69"/>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contract type</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FFP</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298,977</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Plus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118,928</w:t>
            </w:r>
          </w:p>
        </w:tc>
        <w:tc>
          <w:tcPr>
            <w:tcW w:w="154" w:type="dxa"/>
            <w:tcBorders/>
            <w:vAlign w:val="center"/>
          </w:tcPr>
          <w:p>
            <w:pPr>
              <w:pStyle w:val="TableContents"/>
              <w:bidi w:val="0"/>
              <w:spacing w:before="0" w:after="0"/>
              <w:ind w:left="0" w:right="0" w:hanging="0"/>
              <w:jc w:val="center"/>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T&amp;M</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36,771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of these contract types presents advantages and disadvantages. Typically, the Company assumes more risk with FFP contracts. However, these types of contracts generally offer additional profits when the Company completes the work for less than originally estimated. Cost Plus contracts generally subject the Company to lower risk. Accordingly, the associated base fees are usually lower than fees on FFP contracts. Under T&amp;M contracts, the Company’s profit may vary if actual labor hour rates vary significantly from the negotiated rates.</w:t>
      </w:r>
    </w:p>
    <w:p>
      <w:pPr>
        <w:pStyle w:val="TextBody"/>
        <w:bidi w:val="0"/>
        <w:spacing w:before="0" w:after="0"/>
        <w:ind w:left="0" w:right="0" w:hanging="0"/>
        <w:jc w:val="left"/>
        <w:rPr/>
      </w:pPr>
      <w:r>
        <w:rPr/>
        <w:t>​</w:t>
      </w:r>
    </w:p>
    <w:tbl>
      <w:tblPr>
        <w:tblW w:w="5666" w:type="dxa"/>
        <w:jc w:val="left"/>
        <w:tblInd w:w="0" w:type="dxa"/>
        <w:tblLayout w:type="fixed"/>
        <w:tblCellMar>
          <w:top w:w="0" w:type="dxa"/>
          <w:left w:w="0" w:type="dxa"/>
          <w:bottom w:w="0" w:type="dxa"/>
          <w:right w:w="0" w:type="dxa"/>
        </w:tblCellMar>
      </w:tblPr>
      <w:tblGrid>
        <w:gridCol w:w="2836"/>
        <w:gridCol w:w="346"/>
        <w:gridCol w:w="211"/>
        <w:gridCol w:w="781"/>
        <w:gridCol w:w="346"/>
        <w:gridCol w:w="211"/>
        <w:gridCol w:w="781"/>
        <w:gridCol w:w="154"/>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00860" cy="175260"/>
                      <wp:effectExtent l="0" t="0" r="0" b="0"/>
                      <wp:wrapNone/>
                      <wp:docPr id="70" name="Frame70"/>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5935" cy="175260"/>
                      <wp:effectExtent l="0" t="0" r="0" b="0"/>
                      <wp:wrapNone/>
                      <wp:docPr id="73" name="Frame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7790" cy="175260"/>
                      <wp:effectExtent l="0" t="0" r="0" b="0"/>
                      <wp:wrapNone/>
                      <wp:docPr id="77" name="Frame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customer category</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386,805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395,337</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government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93,685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59,339</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geographic location</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373,630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347,139</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107,537</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965" w:type="dxa"/>
        <w:jc w:val="left"/>
        <w:tblInd w:w="0" w:type="dxa"/>
        <w:tblLayout w:type="fixed"/>
        <w:tblCellMar>
          <w:top w:w="0" w:type="dxa"/>
          <w:left w:w="0" w:type="dxa"/>
          <w:bottom w:w="0" w:type="dxa"/>
          <w:right w:w="0" w:type="dxa"/>
        </w:tblCellMar>
      </w:tblPr>
      <w:tblGrid>
        <w:gridCol w:w="3766"/>
        <w:gridCol w:w="109"/>
        <w:gridCol w:w="163"/>
        <w:gridCol w:w="632"/>
        <w:gridCol w:w="346"/>
        <w:gridCol w:w="163"/>
        <w:gridCol w:w="632"/>
        <w:gridCol w:w="154"/>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391410" cy="175260"/>
                      <wp:effectExtent l="0" t="0" r="0" b="0"/>
                      <wp:wrapNone/>
                      <wp:docPr id="78" name="Frame78"/>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03505" cy="175260"/>
                      <wp:effectExtent l="0" t="0" r="0" b="0"/>
                      <wp:wrapNone/>
                      <wp:docPr id="80" name="Frame80"/>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01320" cy="175260"/>
                      <wp:effectExtent l="0" t="0" r="0" b="0"/>
                      <wp:wrapNone/>
                      <wp:docPr id="81" name="Frame81"/>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03505" cy="175260"/>
                      <wp:effectExtent l="0" t="0" r="0" b="0"/>
                      <wp:wrapNone/>
                      <wp:docPr id="83" name="Frame83"/>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01320" cy="175260"/>
                      <wp:effectExtent l="0" t="0" r="0" b="0"/>
                      <wp:wrapNone/>
                      <wp:docPr id="84" name="Frame84"/>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97790" cy="175260"/>
                      <wp:effectExtent l="0" t="0" r="0" b="0"/>
                      <wp:wrapNone/>
                      <wp:docPr id="85" name="Frame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9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left"/>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percentage by recognition method</w:t>
            </w:r>
          </w:p>
        </w:tc>
        <w:tc>
          <w:tcPr>
            <w:tcW w:w="109"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time</w:t>
            </w:r>
          </w:p>
        </w:tc>
        <w:tc>
          <w:tcPr>
            <w:tcW w:w="109" w:type="dxa"/>
            <w:tcBorders/>
            <w:shd w:fill="CCEEFF" w:val="clear"/>
            <w:vAlign w:val="center"/>
          </w:tcPr>
          <w:p>
            <w:pPr>
              <w:pStyle w:val="TableContents"/>
              <w:bidi w:val="0"/>
              <w:spacing w:before="0" w:after="0"/>
              <w:ind w:left="0" w:right="0" w:hanging="0"/>
              <w:jc w:val="center"/>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6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109" w:type="dxa"/>
            <w:tcBorders/>
            <w:vAlign w:val="center"/>
          </w:tcPr>
          <w:p>
            <w:pPr>
              <w:pStyle w:val="TableContents"/>
              <w:bidi w:val="0"/>
              <w:spacing w:before="0" w:after="0"/>
              <w:ind w:left="0" w:right="0" w:hanging="0"/>
              <w:jc w:val="center"/>
              <w:rPr/>
            </w:pPr>
            <w:r>
              <w:rPr/>
              <w:t>​</w:t>
            </w:r>
          </w:p>
        </w:tc>
        <w:tc>
          <w:tcPr>
            <w:tcW w:w="1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1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Customer-Funded Research &amp; Development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$84,982,000 for the three months ended August 1, 2026. Revenue from customer-funded R&amp;D was approximately $60,847,000 for the three months ended August 2,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contract asset and liability balances during the three month period ended August 1, 2026 were not materially impacted by factors other than billings, cash collections, and timing of revenue recognition. For the Company’s contracts, there are no significant gaps between the receipt of payment and the transfer of the associated goods and services to the customer for material amounts of consideration.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for the three month period ended August 1, 2026 that was included in customer advances balances as of April 30, 2026 was $23,665,000. Revenue recognized for the three month period ended August 2, 2025 that was included in customer advances balances as of April 30, 2025 was $11,358,000.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of 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income (expense), net. Management determines the appropriate classification of securities at the time of purchase and reevaluates such designation as of each balance sheet date. Equity securities without a readily determinable fair value are measured at cost minus impairment, if 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Values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values of cash and cash equivalents, accounts receivable, unbilled receivables and retentions, and accounts payable approximate cost due to the short period of time to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a receivables sales agreement with Citibank, N.A. with an aggregate capacity of $100,000,000. The receivables sold under the factoring facilities are without recourse and result in a true sale. Receivables are de-recognized in their entirety when sold. As of August 1, 2026, no receivables have been sold, proceeds collected, or purchase discount fees incurred under the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Government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to the Company on government Cost Plus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Cost Plus and T&amp;M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98" w:name="Tc_-LlyR2UPdES8POYM4nWwBA_7_0"/>
      <w:bookmarkStart w:id="799" w:name="Tc_r308HRZoFkisE1xM73U5KQ_6_6"/>
      <w:bookmarkStart w:id="800" w:name="Tc_yvH5_DUR6kuFcukHIDjiqQ_6_3"/>
      <w:bookmarkStart w:id="801" w:name="Tc_lGL-vt73ZkqRMV7989I3Tw_6_0"/>
      <w:bookmarkStart w:id="802" w:name="Tc_33jdubyn7ECDf8IMTQrSgw_5_0"/>
      <w:bookmarkStart w:id="803" w:name="Tc_gdI2wRMTgkOII7H3TWJaDw_4_0"/>
      <w:bookmarkStart w:id="804" w:name="Tc_zxMCF7fEAE274GxLTJ9pYA_3_5"/>
      <w:bookmarkStart w:id="805" w:name="Tc_ZIH1a5ofL026RiBNNm4jPw_3_2"/>
      <w:bookmarkStart w:id="806" w:name="Tc_Fx_AORrQM0COddAOGYbDGw_3_0"/>
      <w:bookmarkStart w:id="807" w:name="Tc_I7DifqRva0GcBao6MgSZVQ_2_5"/>
      <w:bookmarkStart w:id="808" w:name="Tc_l-HzgcZkvkS_7S8eSU2jYA_2_2"/>
      <w:bookmarkStart w:id="809" w:name="Tc_Z7eW6DkzT0iDsiOgBfrXCw_1_3"/>
      <w:bookmarkStart w:id="810" w:name="_504ca9da_dbe3_45fa_a9b5_edacf527a5d2"/>
      <w:bookmarkEnd w:id="798"/>
      <w:bookmarkEnd w:id="799"/>
      <w:bookmarkEnd w:id="800"/>
      <w:bookmarkEnd w:id="801"/>
      <w:bookmarkEnd w:id="802"/>
      <w:bookmarkEnd w:id="803"/>
      <w:bookmarkEnd w:id="804"/>
      <w:bookmarkEnd w:id="805"/>
      <w:bookmarkEnd w:id="806"/>
      <w:bookmarkEnd w:id="807"/>
      <w:bookmarkEnd w:id="808"/>
      <w:bookmarkEnd w:id="809"/>
      <w:bookmarkEnd w:id="810"/>
      <w:r>
        <w:rPr>
          <w:rFonts w:ascii="Times New Roman;Times;serif" w:hAnsi="Times New Roman;Times;serif"/>
          <w:sz w:val="20"/>
        </w:rPr>
        <w:t>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estimated full year rates unless collectability is not reasonably assured. As of August 1, 2026, the company had a reserve for incurred cost claims of $956,000. As of April 30, 2026, the Company had no reserve for incurred cost claim audits.</w:t>
        <w:b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 is computed using the weighted-average number of common shares outstanding, excluding shares of unvested restricted stock.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reconciliation of basic to diluted shares is as follows (in thousands except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28"/>
        <w:gridCol w:w="346"/>
        <w:gridCol w:w="211"/>
        <w:gridCol w:w="1036"/>
        <w:gridCol w:w="346"/>
        <w:gridCol w:w="211"/>
        <w:gridCol w:w="1036"/>
        <w:gridCol w:w="391"/>
      </w:tblGrid>
      <w:tr>
        <w:trPr/>
        <w:tc>
          <w:tcPr>
            <w:tcW w:w="6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208780" cy="175260"/>
                      <wp:effectExtent l="0" t="0" r="0" b="0"/>
                      <wp:wrapNone/>
                      <wp:docPr id="86" name="Frame86"/>
                      <a:graphic xmlns:a="http://schemas.openxmlformats.org/drawingml/2006/main">
                        <a:graphicData uri="http://schemas.microsoft.com/office/word/2010/wordprocessingShape">
                          <wps:wsp>
                            <wps:cNvSpPr txBox="1"/>
                            <wps:spPr>
                              <a:xfrm>
                                <a:off x="0" y="0"/>
                                <a:ext cx="420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7"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57860" cy="175260"/>
                      <wp:effectExtent l="0" t="0" r="0" b="0"/>
                      <wp:wrapNone/>
                      <wp:docPr id="89" name="Frame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57860" cy="175260"/>
                      <wp:effectExtent l="0" t="0" r="0" b="0"/>
                      <wp:wrapNone/>
                      <wp:docPr id="92" name="Frame9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48285" cy="175260"/>
                      <wp:effectExtent l="0" t="0" r="0" b="0"/>
                      <wp:wrapNone/>
                      <wp:docPr id="93" name="Frame9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62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91" w:type="dxa"/>
            <w:tcBorders/>
            <w:vAlign w:val="center"/>
          </w:tcPr>
          <w:p>
            <w:pPr>
              <w:pStyle w:val="TableContents"/>
              <w:bidi w:val="0"/>
              <w:spacing w:before="0" w:after="0"/>
              <w:ind w:left="0" w:right="0" w:hanging="0"/>
              <w:jc w:val="center"/>
              <w:rPr/>
            </w:pPr>
            <w:r>
              <w:rPr/>
              <w:t>​</w:t>
            </w:r>
          </w:p>
        </w:tc>
      </w:tr>
      <w:tr>
        <w:trPr/>
        <w:tc>
          <w:tcPr>
            <w:tcW w:w="662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 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 2025</w:t>
            </w:r>
          </w:p>
        </w:tc>
        <w:tc>
          <w:tcPr>
            <w:tcW w:w="391" w:type="dxa"/>
            <w:tcBorders/>
            <w:vAlign w:val="center"/>
          </w:tcPr>
          <w:p>
            <w:pPr>
              <w:pStyle w:val="TableContents"/>
              <w:bidi w:val="0"/>
              <w:spacing w:before="0" w:after="0"/>
              <w:ind w:left="0" w:right="0" w:hanging="0"/>
              <w:jc w:val="left"/>
              <w:rPr/>
            </w:pPr>
            <w:r>
              <w:rPr/>
              <w:t>  ​ ​ ​</w:t>
            </w:r>
          </w:p>
        </w:tc>
      </w:tr>
      <w:tr>
        <w:trPr/>
        <w:tc>
          <w:tcPr>
            <w:tcW w:w="66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loss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6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49,822,595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46,882,350</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66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employee stock options, restricted stock and restricted stock units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 </w:t>
            </w:r>
          </w:p>
        </w:tc>
      </w:tr>
      <w:tr>
        <w:trPr/>
        <w:tc>
          <w:tcPr>
            <w:tcW w:w="66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49,822,595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46,882,350</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 xml:space="preserve">Due to the net loss for the three months ended </w:t>
      </w:r>
      <w:r>
        <w:rPr>
          <w:rFonts w:ascii="Times New Roman;Times;serif" w:hAnsi="Times New Roman;Times;serif"/>
          <w:sz w:val="20"/>
        </w:rPr>
        <w:t>August 1, 2026 and August 2, 2025</w:t>
      </w:r>
      <w:r>
        <w:rPr>
          <w:rFonts w:ascii="Times New Roman;Times;serif" w:hAnsi="Times New Roman;Times;serif"/>
          <w:sz w:val="20"/>
          <w:shd w:fill="FFFFFF" w:val="clear"/>
        </w:rPr>
        <w:t xml:space="preserve">,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330,957 for the three months ended </w:t>
      </w:r>
      <w:r>
        <w:rPr>
          <w:rFonts w:ascii="Times New Roman;Times;serif" w:hAnsi="Times New Roman;Times;serif"/>
          <w:sz w:val="20"/>
        </w:rPr>
        <w:t>August 1, 2026</w:t>
      </w:r>
      <w:r>
        <w:rPr>
          <w:rFonts w:ascii="Times New Roman;Times;serif" w:hAnsi="Times New Roman;Times;serif"/>
          <w:sz w:val="20"/>
          <w:shd w:fill="FFFFFF" w:val="clear"/>
        </w:rPr>
        <w:t>. Potentially dilutive shares not included in the computation of diluted weighted-average common shares because their effect would have been anti-dilutive were 168,254 for the three months ended August 2,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Statement—Reporting Comprehensive Income— Expense Disaggregation Disclosures (Subtopic 220-40): Disaggregation of Income Statement Expenses</w:t>
      </w:r>
      <w:r>
        <w:rPr>
          <w:rFonts w:ascii="Times New Roman;Times;serif" w:hAnsi="Times New Roman;Times;serif"/>
          <w:sz w:val="20"/>
        </w:rPr>
        <w:t xml:space="preserve"> (“ASU 2024-03”). ASU 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The Company is currently evaluating the potential impact of this adoption on its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September 2025, the FASB issued ASU 2025-06, Targeted Improvements to the Accounting for Internal-Use Software (“ASU 2025-06”), which better aligns the accounting guidance to how software is developed by eliminating project stages from capitalization criteria. The new standard is effective for annual reporting periods beginning after December 15, 2027 and interim periods within those annual reporting periods. The standard allows for prospective, modified, or retrospective transition. Early adoption is permitted. The Company is currently evaluating the impact of adopting this new pronouncement.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2025, the FASB issued ASU 2025-11, Interim Reporting (“ASU 2025-11”), which is intended to improve the navigability of required interim disclosures and clarify when that guidance is applicable, and also to provide additional guidance on what disclosures should be provided in interim reporting periods. The new standard is effective for annual reporting periods beginning after December 15, 2027 and interim periods within those annual reporting periods. The standard allows for prospective or retrospective transition. Early adoption is permitted. The Company is currently evaluating the impact of adopting this new pronouncement.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11" w:name="Tc_vDur3vmaC0aPSF296mbbOQ_7_11"/>
      <w:bookmarkStart w:id="812" w:name="Tc_PcnT9HNqLkqr8TgHCGgTbA_7_8"/>
      <w:bookmarkStart w:id="813" w:name="Tc_XOlYeTVH702XR6OpvakXLg_7_5"/>
      <w:bookmarkStart w:id="814" w:name="Tc_vW4vcSpivk6M_50lGTXYpg_7_2"/>
      <w:bookmarkStart w:id="815" w:name="Tc_eGUZ_-JjP0yB25bv_zCgFQ_7_0"/>
      <w:bookmarkStart w:id="816" w:name="Tc_RP65By0CjUSKLWMfWcqljw_6_0"/>
      <w:bookmarkStart w:id="817" w:name="Tc_4FVKp4LD1EabywURfIiTdg_5_11"/>
      <w:bookmarkStart w:id="818" w:name="Tc_WVtsHS_rt0iEKveeizDjTQ_5_8"/>
      <w:bookmarkStart w:id="819" w:name="Tc_Gdn9__iSbUSpLKmCVZTgCQ_5_5"/>
      <w:bookmarkStart w:id="820" w:name="Tc_dfJbQHrnIUigOphSQh7lng_5_2"/>
      <w:bookmarkStart w:id="821" w:name="Tc_EGLcdKCUekq7_6orOxEmkw_5_0"/>
      <w:bookmarkStart w:id="822" w:name="Tc_ksvwo3MPDUyA0VvyVTlLTA_4_11"/>
      <w:bookmarkStart w:id="823" w:name="Tc_emoK7jV8pU2ohxv3YfbkTg_4_8"/>
      <w:bookmarkStart w:id="824" w:name="Tc_BgbEm2zHjUeHjB9kClhcGg_4_5"/>
      <w:bookmarkStart w:id="825" w:name="Tc_tPMenGoax0e7t5XhOh_mrA_4_2"/>
      <w:bookmarkStart w:id="826" w:name="Tc_8dxN1cZZykKmZsIP2n_2vQ_3_11"/>
      <w:bookmarkStart w:id="827" w:name="Tc_VbWM0n-R0kC0FjRoWjk43Q_3_8"/>
      <w:bookmarkStart w:id="828" w:name="Tc_VvKsD6qnu02zV5t6WppyaA_3_5"/>
      <w:bookmarkStart w:id="829" w:name="Tc_df2j0GsTNkGHhQXoCYH9gg_3_2"/>
      <w:bookmarkStart w:id="830" w:name="Tc_mTdih2gtkEWDSThM0lC9xA_2_8"/>
      <w:bookmarkStart w:id="831" w:name="Tc_IuQWy_ZY10isXjb2xZ7fIQ_2_5"/>
      <w:bookmarkStart w:id="832" w:name="Tc_haKRvH06ykmBWl-rOj57pQ_1_2"/>
      <w:bookmarkStart w:id="833" w:name="_438743d9_f75a_4145_884c_a2a4ae9f20bd"/>
      <w:bookmarkStart w:id="834" w:name="Tc_2n4t90KfKUej0w1P44iLxQ_7_11"/>
      <w:bookmarkStart w:id="835" w:name="Tc_uomhvC85GEmKzizRCSXfpw_7_8"/>
      <w:bookmarkStart w:id="836" w:name="Tc_ar2XfBgQY0-hKUzWLK2J2Q_7_6"/>
      <w:bookmarkStart w:id="837" w:name="Tc_2AvQCVJCjEWpSvVavtxOoA_7_5"/>
      <w:bookmarkStart w:id="838" w:name="Tc_-LjPKKpPI02odowyD-EAwg_7_2"/>
      <w:bookmarkStart w:id="839" w:name="Tc_HVU1bkfJyU2b_fPakjitaw_7_0"/>
      <w:bookmarkStart w:id="840" w:name="Tc_gAybhMh6WUSm2Tr5tZF9qQ_6_6"/>
      <w:bookmarkStart w:id="841" w:name="Tc_-CDm6L3JFUuJ2xL3YG8EqA_6_0"/>
      <w:bookmarkStart w:id="842" w:name="Tc_D1PCl0kANEqofWT-KGEYwA_5_11"/>
      <w:bookmarkStart w:id="843" w:name="Tc_HGhDTp-60k6LYrTI9DmYTA_5_8"/>
      <w:bookmarkStart w:id="844" w:name="Tc_D3nIv7BmN0yNXzpgkAZ9eg_5_6"/>
      <w:bookmarkStart w:id="845" w:name="Tc_Se1NR7MiCEqNcU9Uuvcl2Q_5_5"/>
      <w:bookmarkStart w:id="846" w:name="Tc_No_GAG8T2E63fc2BmRzAoQ_5_2"/>
      <w:bookmarkStart w:id="847" w:name="Tc_aQu9E6oEo0GsXRlRcx_1qA_5_0"/>
      <w:bookmarkStart w:id="848" w:name="Tc_np02Qf8CHEmmeEkzl417lg_4_11"/>
      <w:bookmarkStart w:id="849" w:name="Tc_qaQwEDsJMUmPrD3QKuNaOw_4_8"/>
      <w:bookmarkStart w:id="850" w:name="Tc_ifP-ckCVr0yK9gXIPsSQ4Q_4_5"/>
      <w:bookmarkStart w:id="851" w:name="Tc_e1iYfJdt4Eet5LoF-S-aJA_4_2"/>
      <w:bookmarkStart w:id="852" w:name="Tc_0q1oZCVjvEa7GKcgj0_Cxw_3_11"/>
      <w:bookmarkStart w:id="853" w:name="Tc_EydPvOS5eEW_qH0sWp6Euw_3_8"/>
      <w:bookmarkStart w:id="854" w:name="Tc_5MLS-GALS0mTAZW3QVcdTQ_3_5"/>
      <w:bookmarkStart w:id="855" w:name="Tc_fqPObCXrCUuf7zs0_bLhtg_3_2"/>
      <w:bookmarkStart w:id="856" w:name="Tc_v9PWoE527EyFOSF8tbdARQ_2_8"/>
      <w:bookmarkStart w:id="857" w:name="Tc_dKaBgSxqvU6uCNx5awgb1w_2_5"/>
      <w:bookmarkStart w:id="858" w:name="Tc_45yM4pMxKkmXX0nu2eg8hA_1_2"/>
      <w:bookmarkStart w:id="859" w:name="_a579133e_1a26_4369_a840_340875914930"/>
      <w:bookmarkStart w:id="860" w:name="Tc_SKk79jKxQUuZD09sTESGow_17_5"/>
      <w:bookmarkStart w:id="861" w:name="Tc_Vg9eunJ-mE6ei6qxOcJNyg_17_2"/>
      <w:bookmarkStart w:id="862" w:name="Tc_I_9Q0yHAbUeKazQnmz1_rw_16_0"/>
      <w:bookmarkStart w:id="863" w:name="Tc_B3Y0U9ULjUKIp8Jby_JQ5w_15_0"/>
      <w:bookmarkStart w:id="864" w:name="Tc_JU0CwyHB-0OvNOJ-2uZEcg_14_0"/>
      <w:bookmarkStart w:id="865" w:name="Tc_1gQl0-HMe0CIhWgI8uzQDQ_13_0"/>
      <w:bookmarkStart w:id="866" w:name="Tc_sWhPzZwBE06N6GESkAbqow_12_0"/>
      <w:bookmarkStart w:id="867" w:name="Tc_YpWFOAPbNUijSXpXtoLT1Q_11_0"/>
      <w:bookmarkStart w:id="868" w:name="Tc_VpBHh9-otUufWE2GTdhPgg_10_0"/>
      <w:bookmarkStart w:id="869" w:name="Tc_f-Qv3jzCGkiToVUsSB-06A_9_0"/>
      <w:bookmarkStart w:id="870" w:name="Tc_smDy85kNfUKlZNDMkLhFSA_8_0"/>
      <w:bookmarkStart w:id="871" w:name="Tc_dt8Ss7A_zE-bFF4Z4o31tQ_7_0"/>
      <w:bookmarkStart w:id="872" w:name="Tc_EhouNYoB10OJASYtncovSg_6_0"/>
      <w:bookmarkStart w:id="873" w:name="Tc_bgrtJD11hEmp_wcrK9nDaA_5_0"/>
      <w:bookmarkStart w:id="874" w:name="Tc_X_LMP6JbeUOkAeHY3KZ5BQ_4_0"/>
      <w:bookmarkStart w:id="875" w:name="Tc_5OsJukuleUeAd5AGs7TCaA_3_0"/>
      <w:bookmarkStart w:id="876" w:name="Tc_2DsvnAI8PE2-iQfwFvFqtQ_2_5"/>
      <w:bookmarkStart w:id="877" w:name="Tc_951Hsq6EjUan3PtAj3hQ7Q_2_2"/>
      <w:bookmarkStart w:id="878" w:name="Tc_D0qsbq87uke_Ajq7rIhS8g_1_5"/>
      <w:bookmarkStart w:id="879" w:name="Tc_IHQHc5tIw0eIguRggNxi3g_1_2"/>
      <w:bookmarkStart w:id="880" w:name="_938471d7_4f14_4d27_b6bc_8eb351273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Times;serif" w:hAnsi="Times New Roman;Times;serif"/>
          <w:b/>
          <w:sz w:val="20"/>
        </w:rPr>
        <w:t>2.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consist of the following (in thousands):</w:t>
      </w:r>
    </w:p>
    <w:p>
      <w:pPr>
        <w:pStyle w:val="TextBody"/>
        <w:bidi w:val="0"/>
        <w:spacing w:before="0" w:after="0"/>
        <w:ind w:left="0" w:right="0" w:hanging="0"/>
        <w:jc w:val="left"/>
        <w:rPr/>
      </w:pPr>
      <w:r>
        <w:rPr/>
        <w:t>​</w:t>
      </w:r>
    </w:p>
    <w:tbl>
      <w:tblPr>
        <w:tblW w:w="7548" w:type="dxa"/>
        <w:jc w:val="left"/>
        <w:tblInd w:w="0" w:type="dxa"/>
        <w:tblLayout w:type="fixed"/>
        <w:tblCellMar>
          <w:top w:w="0" w:type="dxa"/>
          <w:left w:w="0" w:type="dxa"/>
          <w:bottom w:w="0" w:type="dxa"/>
          <w:right w:w="0" w:type="dxa"/>
        </w:tblCellMar>
      </w:tblPr>
      <w:tblGrid>
        <w:gridCol w:w="4681"/>
        <w:gridCol w:w="346"/>
        <w:gridCol w:w="211"/>
        <w:gridCol w:w="781"/>
        <w:gridCol w:w="346"/>
        <w:gridCol w:w="211"/>
        <w:gridCol w:w="781"/>
        <w:gridCol w:w="19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972435" cy="175260"/>
                      <wp:effectExtent l="0" t="0" r="0" b="0"/>
                      <wp:wrapNone/>
                      <wp:docPr id="94" name="Frame94"/>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935" cy="175260"/>
                      <wp:effectExtent l="0" t="0" r="0" b="0"/>
                      <wp:wrapNone/>
                      <wp:docPr id="97" name="Frame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5935" cy="175260"/>
                      <wp:effectExtent l="0" t="0" r="0" b="0"/>
                      <wp:wrapNone/>
                      <wp:docPr id="100" name="Frame10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1285" cy="175260"/>
                      <wp:effectExtent l="0" t="0" r="0" b="0"/>
                      <wp:wrapNone/>
                      <wp:docPr id="101" name="Frame10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1" w:type="dxa"/>
            <w:tcBorders/>
            <w:vAlign w:val="center"/>
          </w:tcPr>
          <w:p>
            <w:pPr>
              <w:pStyle w:val="TableContents"/>
              <w:bidi w:val="0"/>
              <w:spacing w:before="0" w:after="0"/>
              <w:ind w:left="0" w:right="0" w:hanging="0"/>
              <w:jc w:val="center"/>
              <w:rPr/>
            </w:pPr>
            <w:r>
              <w:rPr/>
              <w:t> </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161,879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137,759</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139,958</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117,213</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short-term investments</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301,837</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254,972</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securities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14,106</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at cost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available-for-sale securities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40,841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limited partnership funds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method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52,069</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94,777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81,128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Available-For-Sale Securities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August 1, 2026, the balance of available-for-sale securities consisted of U.S. government securities, money market funds, treasury bills, and high-grade corporate bonds. Interest earned from these investments is recorded in interest income (expense), net. Realized gains on sales of these investments on the basis of specific identification are recorded in interest income (expense),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is a summary of the activity related to the available-for-sale investments recorded in short-term and long-term investments as of August 1, 2026 (in thousands):</w:t>
      </w:r>
    </w:p>
    <w:p>
      <w:pPr>
        <w:pStyle w:val="TextBody"/>
        <w:bidi w:val="0"/>
        <w:spacing w:before="0" w:after="0"/>
        <w:ind w:left="0" w:right="0" w:hanging="0"/>
        <w:jc w:val="left"/>
        <w:rPr/>
      </w:pPr>
      <w:r>
        <w:rPr/>
        <w:t>​</w:t>
      </w:r>
    </w:p>
    <w:tbl>
      <w:tblPr>
        <w:tblW w:w="7649" w:type="dxa"/>
        <w:jc w:val="left"/>
        <w:tblInd w:w="0" w:type="dxa"/>
        <w:tblLayout w:type="fixed"/>
        <w:tblCellMar>
          <w:top w:w="0" w:type="dxa"/>
          <w:left w:w="0" w:type="dxa"/>
          <w:bottom w:w="0" w:type="dxa"/>
          <w:right w:w="0" w:type="dxa"/>
        </w:tblCellMar>
      </w:tblPr>
      <w:tblGrid>
        <w:gridCol w:w="2866"/>
        <w:gridCol w:w="346"/>
        <w:gridCol w:w="211"/>
        <w:gridCol w:w="781"/>
        <w:gridCol w:w="346"/>
        <w:gridCol w:w="335"/>
        <w:gridCol w:w="551"/>
        <w:gridCol w:w="109"/>
        <w:gridCol w:w="270"/>
        <w:gridCol w:w="616"/>
        <w:gridCol w:w="109"/>
        <w:gridCol w:w="211"/>
        <w:gridCol w:w="898"/>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819910" cy="175260"/>
                      <wp:effectExtent l="0" t="0" r="0" b="0"/>
                      <wp:wrapNone/>
                      <wp:docPr id="102" name="Frame102"/>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1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19710" cy="175260"/>
                      <wp:effectExtent l="0" t="0" r="0" b="0"/>
                      <wp:wrapNone/>
                      <wp:docPr id="106"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2725" cy="175260"/>
                      <wp:effectExtent l="0" t="0" r="0" b="0"/>
                      <wp:wrapNone/>
                      <wp:docPr id="107" name="Frame10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49885" cy="175260"/>
                      <wp:effectExtent l="0" t="0" r="0" b="0"/>
                      <wp:wrapNone/>
                      <wp:docPr id="108" name="Frame108"/>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9215" cy="175260"/>
                      <wp:effectExtent l="0" t="0" r="0" b="0"/>
                      <wp:wrapNone/>
                      <wp:docPr id="109" name="Frame1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1450" cy="175260"/>
                      <wp:effectExtent l="0" t="0" r="0" b="0"/>
                      <wp:wrapNone/>
                      <wp:docPr id="110" name="Frame110"/>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91160" cy="175260"/>
                      <wp:effectExtent l="0" t="0" r="0" b="0"/>
                      <wp:wrapNone/>
                      <wp:docPr id="111" name="Frame111"/>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70230" cy="175260"/>
                      <wp:effectExtent l="0" t="0" r="0" b="0"/>
                      <wp:wrapNone/>
                      <wp:docPr id="114" name="Frame11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437"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 2026</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109" w:type="dxa"/>
            <w:tcBorders/>
            <w:vAlign w:val="center"/>
          </w:tcPr>
          <w:p>
            <w:pPr>
              <w:pStyle w:val="TableContents"/>
              <w:bidi w:val="0"/>
              <w:spacing w:before="0" w:after="0"/>
              <w:ind w:left="0" w:right="0" w:hanging="0"/>
              <w:jc w:val="center"/>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securities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152,094</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151,919</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securities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182,985</w:t>
            </w:r>
          </w:p>
        </w:tc>
        <w:tc>
          <w:tcPr>
            <w:tcW w:w="34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182,759</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available-for-sale securities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335,079</w:t>
            </w:r>
          </w:p>
        </w:tc>
        <w:tc>
          <w:tcPr>
            <w:tcW w:w="34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334,678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is a summary of the activity related to the available-for-sale investments recorded in short-term and long-term investments as of April 30, 2026 (in thousands):</w:t>
      </w:r>
    </w:p>
    <w:p>
      <w:pPr>
        <w:pStyle w:val="TextBody"/>
        <w:bidi w:val="0"/>
        <w:spacing w:before="0" w:after="0"/>
        <w:ind w:left="0" w:right="0" w:hanging="0"/>
        <w:jc w:val="left"/>
        <w:rPr/>
      </w:pPr>
      <w:r>
        <w:rPr/>
        <w:t>​</w:t>
      </w:r>
    </w:p>
    <w:tbl>
      <w:tblPr>
        <w:tblW w:w="7449" w:type="dxa"/>
        <w:jc w:val="left"/>
        <w:tblInd w:w="0" w:type="dxa"/>
        <w:tblLayout w:type="fixed"/>
        <w:tblCellMar>
          <w:top w:w="0" w:type="dxa"/>
          <w:left w:w="0" w:type="dxa"/>
          <w:bottom w:w="0" w:type="dxa"/>
          <w:right w:w="0" w:type="dxa"/>
        </w:tblCellMar>
      </w:tblPr>
      <w:tblGrid>
        <w:gridCol w:w="2866"/>
        <w:gridCol w:w="146"/>
        <w:gridCol w:w="211"/>
        <w:gridCol w:w="781"/>
        <w:gridCol w:w="109"/>
        <w:gridCol w:w="443"/>
        <w:gridCol w:w="443"/>
        <w:gridCol w:w="109"/>
        <w:gridCol w:w="270"/>
        <w:gridCol w:w="616"/>
        <w:gridCol w:w="346"/>
        <w:gridCol w:w="211"/>
        <w:gridCol w:w="898"/>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819910" cy="175260"/>
                      <wp:effectExtent l="0" t="0" r="0" b="0"/>
                      <wp:wrapNone/>
                      <wp:docPr id="115" name="Frame115"/>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2710" cy="175260"/>
                      <wp:effectExtent l="0" t="0" r="0" b="0"/>
                      <wp:wrapNone/>
                      <wp:docPr id="116" name="Frame11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95935" cy="175260"/>
                      <wp:effectExtent l="0" t="0" r="0" b="0"/>
                      <wp:wrapNone/>
                      <wp:docPr id="118" name="Frame11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119" name="Frame1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81305" cy="175260"/>
                      <wp:effectExtent l="0" t="0" r="0" b="0"/>
                      <wp:wrapNone/>
                      <wp:docPr id="120" name="Frame120"/>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81305" cy="175260"/>
                      <wp:effectExtent l="0" t="0" r="0" b="0"/>
                      <wp:wrapNone/>
                      <wp:docPr id="121" name="Frame121"/>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9215" cy="175260"/>
                      <wp:effectExtent l="0" t="0" r="0" b="0"/>
                      <wp:wrapNone/>
                      <wp:docPr id="122" name="Frame1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1450" cy="175260"/>
                      <wp:effectExtent l="0" t="0" r="0" b="0"/>
                      <wp:wrapNone/>
                      <wp:docPr id="123" name="Frame123"/>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91160" cy="175260"/>
                      <wp:effectExtent l="0" t="0" r="0" b="0"/>
                      <wp:wrapNone/>
                      <wp:docPr id="124" name="Frame12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70230" cy="175260"/>
                      <wp:effectExtent l="0" t="0" r="0" b="0"/>
                      <wp:wrapNone/>
                      <wp:docPr id="127" name="Frame12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437" w:type="dxa"/>
            <w:gridSpan w:val="11"/>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2026</w:t>
            </w:r>
          </w:p>
        </w:tc>
      </w:tr>
      <w:tr>
        <w:trPr/>
        <w:tc>
          <w:tcPr>
            <w:tcW w:w="28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109"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before="0" w:after="0"/>
              <w:ind w:left="0" w:right="0" w:hanging="0"/>
              <w:jc w:val="center"/>
              <w:rPr/>
            </w:pPr>
            <w:r>
              <w:rPr/>
              <w:t>​</w:t>
            </w:r>
          </w:p>
        </w:tc>
        <w:tc>
          <w:tcPr>
            <w:tcW w:w="110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86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109"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before="0" w:after="0"/>
              <w:ind w:left="0" w:right="0" w:hanging="0"/>
              <w:jc w:val="left"/>
              <w:rPr/>
            </w:pPr>
            <w:r>
              <w:rPr/>
              <w:t>  ​ ​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securities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124,306</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124,165</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securities </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151,940</w:t>
            </w:r>
          </w:p>
        </w:tc>
        <w:tc>
          <w:tcPr>
            <w:tcW w:w="109" w:type="dxa"/>
            <w:tcBorders/>
            <w:vAlign w:val="center"/>
          </w:tcPr>
          <w:p>
            <w:pPr>
              <w:pStyle w:val="TableContents"/>
              <w:bidi w:val="0"/>
              <w:spacing w:before="0" w:after="0"/>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109" w:type="dxa"/>
            <w:tcBorders/>
            <w:vAlign w:val="center"/>
          </w:tcPr>
          <w:p>
            <w:pPr>
              <w:pStyle w:val="TableContents"/>
              <w:bidi w:val="0"/>
              <w:spacing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151,866</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available-for-sale securities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276,246</w:t>
            </w:r>
          </w:p>
        </w:tc>
        <w:tc>
          <w:tcPr>
            <w:tcW w:w="109" w:type="dxa"/>
            <w:tcBorders/>
            <w:shd w:fill="CCEEFF" w:val="clear"/>
            <w:vAlign w:val="center"/>
          </w:tcPr>
          <w:p>
            <w:pPr>
              <w:pStyle w:val="TableContents"/>
              <w:bidi w:val="0"/>
              <w:spacing w:before="0" w:after="0"/>
              <w:ind w:left="0" w:right="0" w:hanging="0"/>
              <w:jc w:val="left"/>
              <w:rPr/>
            </w:pPr>
            <w:r>
              <w:rPr/>
              <w:t>​</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276,031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881" w:name="Tc_EnV2LjYodkqUhVwq_CVVIQ_5_5"/>
      <w:bookmarkStart w:id="882" w:name="Tc_KEPajsMpWUqSH1NJ2GciRg_5_3"/>
      <w:bookmarkStart w:id="883" w:name="Tc_73aau2ctXkeyWRzkTlpvug_5_2"/>
      <w:bookmarkStart w:id="884" w:name="Tc_uYrwvjzbXkix_1a1lMZKSw_5_0"/>
      <w:bookmarkStart w:id="885" w:name="Tc_3VoyOHQ0kEil7J4KwfUqzg_4_6"/>
      <w:bookmarkStart w:id="886" w:name="Tc_1DRoZQTv70qDyjcw9smo9Q_4_3"/>
      <w:bookmarkStart w:id="887" w:name="Tc_NGK9ODN4c0-sR0SOGoYm2w_4_0"/>
      <w:bookmarkStart w:id="888" w:name="Tc_RSrt8y5BbkGZ0z7VwrsSxg_3_5"/>
      <w:bookmarkStart w:id="889" w:name="Tc_PIz8bIkQFU2b8VUGNs5ntA_3_3"/>
      <w:bookmarkStart w:id="890" w:name="Tc_f1-bUgLP-EqoXRMhOPrWag_3_2"/>
      <w:bookmarkStart w:id="891" w:name="Tc_kKy-upLgZ0K3EiMLhZHKLA_3_0"/>
      <w:bookmarkStart w:id="892" w:name="Tc_98rsxfvRTEquTce5x5C-Qg_2_5"/>
      <w:bookmarkStart w:id="893" w:name="Tc_oZMiGJrZ2EODkrQ5kYH2Ug_2_2"/>
      <w:bookmarkStart w:id="894" w:name="Tc__ycCnF9CN0uHrJ9pwftbEA_1_1"/>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equity securities and warrants are measured at fair value with net unrealized gains and losses from changes in the fair value recognized in other income (expense), net. Unrealized gain (loss) recorded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424"/>
        <w:gridCol w:w="109"/>
        <w:gridCol w:w="425"/>
        <w:gridCol w:w="699"/>
        <w:gridCol w:w="346"/>
        <w:gridCol w:w="281"/>
        <w:gridCol w:w="921"/>
      </w:tblGrid>
      <w:tr>
        <w:trPr/>
        <w:tc>
          <w:tcPr>
            <w:tcW w:w="7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714240" cy="175260"/>
                      <wp:effectExtent l="0" t="0" r="0" b="0"/>
                      <wp:wrapNone/>
                      <wp:docPr id="128" name="Frame128"/>
                      <a:graphic xmlns:a="http://schemas.openxmlformats.org/drawingml/2006/main">
                        <a:graphicData uri="http://schemas.microsoft.com/office/word/2010/wordprocessingShape">
                          <wps:wsp>
                            <wps:cNvSpPr txBox="1"/>
                            <wps:spPr>
                              <a:xfrm>
                                <a:off x="0" y="0"/>
                                <a:ext cx="471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69875" cy="175260"/>
                      <wp:effectExtent l="0" t="0" r="0" b="0"/>
                      <wp:wrapNone/>
                      <wp:docPr id="130" name="Frame130"/>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43865" cy="175260"/>
                      <wp:effectExtent l="0" t="0" r="0" b="0"/>
                      <wp:wrapNone/>
                      <wp:docPr id="131" name="Frame131"/>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78435" cy="175260"/>
                      <wp:effectExtent l="0" t="0" r="0" b="0"/>
                      <wp:wrapNone/>
                      <wp:docPr id="133" name="Frame13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84835" cy="175260"/>
                      <wp:effectExtent l="0" t="0" r="0" b="0"/>
                      <wp:wrapNone/>
                      <wp:docPr id="134" name="Frame13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24" w:type="dxa"/>
            <w:tcBorders/>
            <w:vAlign w:val="center"/>
          </w:tcPr>
          <w:p>
            <w:pPr>
              <w:pStyle w:val="TableContents"/>
              <w:bidi w:val="0"/>
              <w:spacing w:before="0" w:after="0"/>
              <w:ind w:left="0" w:right="0" w:hanging="0"/>
              <w:jc w:val="left"/>
              <w:rPr/>
            </w:pPr>
            <w:r>
              <w:rPr/>
              <w:t>​</w:t>
            </w:r>
          </w:p>
        </w:tc>
        <w:tc>
          <w:tcPr>
            <w:tcW w:w="2781" w:type="dxa"/>
            <w:gridSpan w:val="6"/>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74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 2026</w:t>
            </w:r>
          </w:p>
        </w:tc>
        <w:tc>
          <w:tcPr>
            <w:tcW w:w="346" w:type="dxa"/>
            <w:tcBorders/>
            <w:vAlign w:val="center"/>
          </w:tcPr>
          <w:p>
            <w:pPr>
              <w:pStyle w:val="TableContents"/>
              <w:bidi w:val="0"/>
              <w:spacing w:before="0" w:after="0"/>
              <w:ind w:left="0" w:right="0" w:hanging="0"/>
              <w:jc w:val="center"/>
              <w:rPr/>
            </w:pPr>
            <w:r>
              <w:rPr/>
              <w:t>  ​ ​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 2025</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 (loss) recognized during the period on equity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gain recognized during the period on equity securities sold during the period</w:t>
            </w:r>
          </w:p>
        </w:tc>
        <w:tc>
          <w:tcPr>
            <w:tcW w:w="109" w:type="dxa"/>
            <w:tcBorders/>
            <w:vAlign w:val="center"/>
          </w:tcPr>
          <w:p>
            <w:pPr>
              <w:pStyle w:val="TableContents"/>
              <w:bidi w:val="0"/>
              <w:spacing w:before="0" w:after="0"/>
              <w:ind w:left="0" w:right="0" w:hanging="0"/>
              <w:jc w:val="left"/>
              <w:rPr/>
            </w:pPr>
            <w:r>
              <w:rPr/>
              <w:t>​</w:t>
            </w:r>
          </w:p>
        </w:tc>
        <w:tc>
          <w:tcPr>
            <w:tcW w:w="4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recognized during the period on equity securities still held at the reporting date</w:t>
            </w:r>
          </w:p>
        </w:tc>
        <w:tc>
          <w:tcPr>
            <w:tcW w:w="109" w:type="dxa"/>
            <w:tcBorders/>
            <w:shd w:fill="CCEEFF" w:val="clear"/>
            <w:vAlign w:val="center"/>
          </w:tcPr>
          <w:p>
            <w:pPr>
              <w:pStyle w:val="TableContents"/>
              <w:bidi w:val="0"/>
              <w:spacing w:before="0" w:after="0"/>
              <w:ind w:left="0" w:right="0" w:hanging="0"/>
              <w:jc w:val="left"/>
              <w:rPr/>
            </w:pPr>
            <w:r>
              <w:rPr/>
              <w:t>​</w:t>
            </w:r>
          </w:p>
        </w:tc>
        <w:tc>
          <w:tcPr>
            <w:tcW w:w="4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2,701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Investments Measured at Cost</w:t>
      </w:r>
    </w:p>
    <w:p>
      <w:pPr>
        <w:pStyle w:val="TextBody"/>
        <w:bidi w:val="0"/>
        <w:spacing w:before="0" w:after="0"/>
        <w:ind w:left="0" w:right="0" w:firstLine="720"/>
        <w:jc w:val="left"/>
        <w:rPr/>
      </w:pPr>
      <w:r>
        <w:rPr/>
        <w:t>​</w:t>
      </w:r>
      <w:r>
        <w:rPr>
          <w:rFonts w:ascii="Times New Roman;Times;serif" w:hAnsi="Times New Roman;Times;serif"/>
          <w:b/>
          <w:sz w:val="20"/>
        </w:rPr>
        <w:br/>
      </w:r>
      <w:r>
        <w:rPr>
          <w:rFonts w:ascii="Times New Roman;Times;serif" w:hAnsi="Times New Roman;Times;serif"/>
          <w:sz w:val="20"/>
        </w:rPr>
        <w:t>On December 22, 2025, the Company invested $3,000,000 in a privately-held technology company through a Simple Agreement for Future Equity (“SAFE”). The SAFE provides the Company with the right to receive equity in the issuing company upon the occurrence of certain future events, including a qualifying equity financing or a liquidity event. The Company received 254,634 preferred shares of the Company effective May 2026. The Company measures the investment at cost, less any impairment and is recorded in long-term investments.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13, 2026, the Company invested $5,000,000 in a privately-held technology company through a convertible promissory note. The note bears interest at 4.03% annually, matures in 3 years, automatically converts into preferred equity upon a qualified financing event subject to a conversion discount, optional conversion into preferred equity upon a non-qualified financing event subject to a conversion discount, or optional conversion into preferred equity absent subsequent financing without a conversion discount.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 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pStyle w:val="TextBody"/>
        <w:bidi w:val="0"/>
        <w:spacing w:before="0" w:after="0"/>
        <w:ind w:left="0" w:right="0" w:hanging="0"/>
        <w:jc w:val="left"/>
        <w:rPr/>
      </w:pPr>
      <w:r>
        <w:rPr/>
        <w:t>​</w:t>
      </w:r>
    </w:p>
    <w:p>
      <w:pPr>
        <w:pStyle w:val="TextBody"/>
        <w:bidi w:val="0"/>
        <w:ind w:left="0" w:right="0" w:hanging="0"/>
        <w:jc w:val="left"/>
        <w:rPr/>
      </w:pPr>
      <w:r>
        <w:rPr/>
        <w:t>●</w:t>
      </w:r>
      <w:r>
        <w:rPr>
          <w:rFonts w:ascii="Times New Roman;Times;serif" w:hAnsi="Times New Roman;Times;serif"/>
          <w:sz w:val="20"/>
        </w:rPr>
        <w:t>Level 1—Inputs to the valuation based upon quoted prices (unadjusted) for identical assets or liabilities in active markets that are accessible as of the measurement date.</w:t>
      </w:r>
    </w:p>
    <w:p>
      <w:pPr>
        <w:pStyle w:val="TextBody"/>
        <w:pBdr/>
        <w:bidi w:val="0"/>
        <w:spacing w:before="0" w:after="0"/>
        <w:ind w:left="0" w:right="0" w:hanging="360"/>
        <w:jc w:val="left"/>
        <w:rPr/>
      </w:pPr>
      <w:r>
        <w:rPr/>
        <w:t>​</w:t>
      </w:r>
    </w:p>
    <w:p>
      <w:pPr>
        <w:pStyle w:val="TextBody"/>
        <w:bidi w:val="0"/>
        <w:ind w:left="0" w:right="0" w:hanging="0"/>
        <w:jc w:val="left"/>
        <w:rPr/>
      </w:pPr>
      <w:r>
        <w:rPr/>
        <w:t>●</w:t>
      </w:r>
      <w:r>
        <w:rPr>
          <w:rFonts w:ascii="Times New Roman;Times;serif" w:hAnsi="Times New Roman;Times;serif"/>
          <w:sz w:val="20"/>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pStyle w:val="TextBody"/>
        <w:pBdr/>
        <w:bidi w:val="0"/>
        <w:spacing w:before="0" w:after="0"/>
        <w:ind w:left="0" w:right="0" w:hanging="360"/>
        <w:jc w:val="left"/>
        <w:rPr/>
      </w:pPr>
      <w:r>
        <w:rPr/>
        <w:t>​</w:t>
      </w:r>
    </w:p>
    <w:p>
      <w:pPr>
        <w:pStyle w:val="TextBody"/>
        <w:bidi w:val="0"/>
        <w:ind w:left="0" w:right="0" w:hanging="0"/>
        <w:jc w:val="left"/>
        <w:rPr/>
      </w:pPr>
      <w:r>
        <w:rPr/>
        <w:t>●</w:t>
      </w:r>
      <w:r>
        <w:rPr>
          <w:rFonts w:ascii="Times New Roman;Times;serif" w:hAnsi="Times New Roman;Times;serif"/>
          <w:sz w:val="20"/>
        </w:rPr>
        <w:t>Level 3—Inputs to the valuation that are unobservable inputs for the asset or liability.</w:t>
      </w:r>
    </w:p>
    <w:p>
      <w:pPr>
        <w:pStyle w:val="TextBody"/>
        <w:pBdr/>
        <w:bidi w:val="0"/>
        <w:spacing w:before="0" w:after="0"/>
        <w:ind w:left="0" w:right="0" w:hanging="1181"/>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895" w:name="Tc_yhv2WEe15UqORkIsgNDyiQ_8_11"/>
      <w:bookmarkStart w:id="896" w:name="Tc_vy0muNlhRE6b--J-rMxsMg_8_9"/>
      <w:bookmarkStart w:id="897" w:name="Tc_Eiv68ViA2UyFMQ-bPpmIrQ_8_8"/>
      <w:bookmarkStart w:id="898" w:name="Tc_u0jMVzlK8kuBgufRG-bN4g_8_5"/>
      <w:bookmarkStart w:id="899" w:name="Tc_KxOdAOr51ES2WQQzHtbneA_8_3"/>
      <w:bookmarkStart w:id="900" w:name="Tc_shrpqyYqlka1ATWfHqD__Q_8_2"/>
      <w:bookmarkStart w:id="901" w:name="Tc_ZAX3EuO-LE-66s8w_TEPpA_8_0"/>
      <w:bookmarkStart w:id="902" w:name="Tc_7xMM0rplO0C3CmNQBhudVg_7_11"/>
      <w:bookmarkStart w:id="903" w:name="Tc_fTHWZ6ZKDESpHDc_XVrmhA_7_9"/>
      <w:bookmarkStart w:id="904" w:name="Tc__JtkdVdzjUqkYnIL1e7axA_7_8"/>
      <w:bookmarkStart w:id="905" w:name="Tc_YGsX4dXgp0K3qS55koIrLQ_7_5"/>
      <w:bookmarkStart w:id="906" w:name="Tc_gKB2aC611UylVfrxSa9sMA_7_3"/>
      <w:bookmarkStart w:id="907" w:name="Tc_GF5VuD7CZUuYi7QIO54M_A_7_2"/>
      <w:bookmarkStart w:id="908" w:name="Tc_r_YdPmpuZk2OT6AhRRqdkg_7_0"/>
      <w:bookmarkStart w:id="909" w:name="Tc_RorAaQpNm0yem5x8QMOpNg_6_11"/>
      <w:bookmarkStart w:id="910" w:name="Tc_pyXrJ1-oskmqWFgcRE7VQA_6_8"/>
      <w:bookmarkStart w:id="911" w:name="Tc_acJ4LmWBaki5deCVt452Dw_6_5"/>
      <w:bookmarkStart w:id="912" w:name="Tc_ESF5t-H1iE-f3lBkLqhcBw_6_2"/>
      <w:bookmarkStart w:id="913" w:name="Tc__evL7sutpEmwnx5s_xQ3gA_6_0"/>
      <w:bookmarkStart w:id="914" w:name="Tc_AAOAqB5t70CoB_cEEqRqTw_5_8"/>
      <w:bookmarkStart w:id="915" w:name="Tc_ED9MMlZEM0GLKA5UfR9L2A_5_5"/>
      <w:bookmarkStart w:id="916" w:name="Tc_7PLjcwjiaEu6-aF1TH70Fg_5_2"/>
      <w:bookmarkStart w:id="917" w:name="Tc_6zNGtqwKp0Ow82Dq4uZKpw_4_8"/>
      <w:bookmarkStart w:id="918" w:name="Tc_dy87pHLPckK7XkKbk2mbeg_4_5"/>
      <w:bookmarkStart w:id="919" w:name="Tc_LEae3iWofUWRkYUW4CRt0w_4_2"/>
      <w:bookmarkStart w:id="920" w:name="Tc_qDTY3_AyAU-N4ScmDuMESg_3_8"/>
      <w:bookmarkStart w:id="921" w:name="Tc_hhsGEUYIV0aByz5EdBJR0A_3_5"/>
      <w:bookmarkStart w:id="922" w:name="Tc_2__FNZLqZkSG0VPzYN4tUA_3_2"/>
      <w:bookmarkStart w:id="923" w:name="Tc_NBCvO5YvWUePeN3c3SCtEg_2_5"/>
      <w:bookmarkStart w:id="924" w:name="Tc_R5Y1JopM6kCzbH8UXSa6yA_1_2"/>
      <w:bookmarkStart w:id="925" w:name="_a5d01049_ca61_4ae1_b2ff_f2facdbf5712"/>
      <w:bookmarkStart w:id="926" w:name="Tc_pgNdFW_hOUWi9Z46cTAeYQ_8_11"/>
      <w:bookmarkStart w:id="927" w:name="Tc_EppP0-qrs0O0-7vNVwmeFQ_8_9"/>
      <w:bookmarkStart w:id="928" w:name="Tc_Zog2xcYtVEekzlfK9S8PIw_8_8"/>
      <w:bookmarkStart w:id="929" w:name="Tc_VtwKg3lEQ0OhGE8fFMkuYw_8_5"/>
      <w:bookmarkStart w:id="930" w:name="Tc__llCY-qiEkyigI3ZngN8cA_8_3"/>
      <w:bookmarkStart w:id="931" w:name="Tc_ySbp8WpJEUuFwkVHFgo6BQ_8_2"/>
      <w:bookmarkStart w:id="932" w:name="Tc__0EcJ_dI20SoGCz2pLFM4g_8_0"/>
      <w:bookmarkStart w:id="933" w:name="Tc_YSIYxtlSAUKOgRYXj3ru7Q_7_11"/>
      <w:bookmarkStart w:id="934" w:name="Tc_zAFZxUnCPEiJvnCKIjJHlw_7_9"/>
      <w:bookmarkStart w:id="935" w:name="Tc_muLhxsRg8Ea4PgSyNcwbyA_7_8"/>
      <w:bookmarkStart w:id="936" w:name="Tc_knegKaTPXEy7U8nQQIk6ug_7_5"/>
      <w:bookmarkStart w:id="937" w:name="Tc_bIR_KIi3H0qDuZFMIu8X0Q_7_3"/>
      <w:bookmarkStart w:id="938" w:name="Tc_zAOpYPOFYkmKhGGWyoUGeQ_7_2"/>
      <w:bookmarkStart w:id="939" w:name="Tc_OXh6cEPPlUG-Nl4FtHGk5g_7_0"/>
      <w:bookmarkStart w:id="940" w:name="Tc_4hfvOVX1qU-m85e9p4kwgg_6_11"/>
      <w:bookmarkStart w:id="941" w:name="Tc_9nfffMFpoUe2kF84eebQFA_6_8"/>
      <w:bookmarkStart w:id="942" w:name="Tc_A1kNbmHm5k-zahcnZRffCA_6_5"/>
      <w:bookmarkStart w:id="943" w:name="Tc_vhxGyJXrjEmYHa2eTFwTYg_6_2"/>
      <w:bookmarkStart w:id="944" w:name="Tc_qM2RBLG450eSrZJkECrIlg_6_0"/>
      <w:bookmarkStart w:id="945" w:name="Tc_VFyPCSEjKkqcINqLJZRIig_5_8"/>
      <w:bookmarkStart w:id="946" w:name="Tc_4b4eNIDCeU6BRTkWZMMc3A_5_5"/>
      <w:bookmarkStart w:id="947" w:name="Tc_PhrWM3gn8EiUKXuFm6s0hw_5_2"/>
      <w:bookmarkStart w:id="948" w:name="Tc_H-si9SOFfkS3JbUPzRMouA_4_8"/>
      <w:bookmarkStart w:id="949" w:name="Tc_fMrgxD9TsECxwoFKqEzexg_4_5"/>
      <w:bookmarkStart w:id="950" w:name="Tc_biTjPmjI0UW2Z8uK1jQk1Q_4_2"/>
      <w:bookmarkStart w:id="951" w:name="Tc_qxijESUMGkucBUa5zGZIrg_3_8"/>
      <w:bookmarkStart w:id="952" w:name="Tc_ufIHsjzWJU2RT9dSuNFaMA_3_5"/>
      <w:bookmarkStart w:id="953" w:name="Tc_smw04Xc20U61nrGyMWOtmg_3_2"/>
      <w:bookmarkStart w:id="954" w:name="Tc_p9rZ_9BenE6Wagbe3qWCWQ_2_5"/>
      <w:bookmarkStart w:id="955" w:name="Tc_r7yl3gD-W0yBQ9H6xtws1w_1_2"/>
      <w:bookmarkStart w:id="956" w:name="_2fdeeab2_2e17_4906_8fab_bb972664d432"/>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ascii="Times New Roman;Times;serif" w:hAnsi="Times New Roman;Times;serif"/>
          <w:sz w:val="20"/>
        </w:rPr>
        <w:t>The Company’s financial assets measured at fair value on a recurring basis as of August 1, 2026, were as follows (in thousands):</w:t>
      </w:r>
    </w:p>
    <w:p>
      <w:pPr>
        <w:pStyle w:val="TextBody"/>
        <w:pBdr/>
        <w:bidi w:val="0"/>
        <w:spacing w:before="0" w:after="0"/>
        <w:ind w:left="0" w:right="0" w:hanging="1181"/>
        <w:jc w:val="left"/>
        <w:rPr/>
      </w:pPr>
      <w:r>
        <w:rPr/>
        <w:t>​</w:t>
      </w:r>
    </w:p>
    <w:tbl>
      <w:tblPr>
        <w:tblW w:w="8415" w:type="dxa"/>
        <w:jc w:val="left"/>
        <w:tblInd w:w="0" w:type="dxa"/>
        <w:tblLayout w:type="fixed"/>
        <w:tblCellMar>
          <w:top w:w="0" w:type="dxa"/>
          <w:left w:w="0" w:type="dxa"/>
          <w:bottom w:w="0" w:type="dxa"/>
          <w:right w:w="0" w:type="dxa"/>
        </w:tblCellMar>
      </w:tblPr>
      <w:tblGrid>
        <w:gridCol w:w="2386"/>
        <w:gridCol w:w="346"/>
        <w:gridCol w:w="545"/>
        <w:gridCol w:w="896"/>
        <w:gridCol w:w="346"/>
        <w:gridCol w:w="211"/>
        <w:gridCol w:w="781"/>
        <w:gridCol w:w="346"/>
        <w:gridCol w:w="403"/>
        <w:gridCol w:w="663"/>
        <w:gridCol w:w="346"/>
        <w:gridCol w:w="211"/>
        <w:gridCol w:w="781"/>
        <w:gridCol w:w="154"/>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15110" cy="175260"/>
                      <wp:effectExtent l="0" t="0" r="0" b="0"/>
                      <wp:wrapNone/>
                      <wp:docPr id="135" name="Frame135"/>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346075" cy="175260"/>
                      <wp:effectExtent l="0" t="0" r="0" b="0"/>
                      <wp:wrapNone/>
                      <wp:docPr id="137" name="Frame137"/>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68960" cy="175260"/>
                      <wp:effectExtent l="0" t="0" r="0" b="0"/>
                      <wp:wrapNone/>
                      <wp:docPr id="138" name="Frame13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495935" cy="175260"/>
                      <wp:effectExtent l="0" t="0" r="0" b="0"/>
                      <wp:wrapNone/>
                      <wp:docPr id="141" name="Frame14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55905" cy="175260"/>
                      <wp:effectExtent l="0" t="0" r="0" b="0"/>
                      <wp:wrapNone/>
                      <wp:docPr id="143" name="Frame14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421005" cy="175260"/>
                      <wp:effectExtent l="0" t="0" r="0" b="0"/>
                      <wp:wrapNone/>
                      <wp:docPr id="144" name="Frame144"/>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95935" cy="175260"/>
                      <wp:effectExtent l="0" t="0" r="0" b="0"/>
                      <wp:wrapNone/>
                      <wp:docPr id="147" name="Frame1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97790" cy="175260"/>
                      <wp:effectExtent l="0" t="0" r="0" b="0"/>
                      <wp:wrapNone/>
                      <wp:docPr id="148" name="Frame14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52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154"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45"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vAlign w:val="center"/>
          </w:tcPr>
          <w:p>
            <w:pPr>
              <w:pStyle w:val="TableContents"/>
              <w:bidi w:val="0"/>
              <w:spacing w:before="0" w:after="0"/>
              <w:ind w:left="0" w:right="0" w:hanging="0"/>
              <w:jc w:val="left"/>
              <w:rPr/>
            </w:pPr>
            <w:r>
              <w:rPr/>
              <w:t>​</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334,678</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334,678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334,678</w:t>
            </w:r>
          </w:p>
        </w:tc>
        <w:tc>
          <w:tcPr>
            <w:tcW w:w="346" w:type="dxa"/>
            <w:tcBorders/>
            <w:vAlign w:val="center"/>
          </w:tcPr>
          <w:p>
            <w:pPr>
              <w:pStyle w:val="TableContents"/>
              <w:bidi w:val="0"/>
              <w:spacing w:before="0" w:after="0"/>
              <w:ind w:left="0" w:right="0" w:hanging="0"/>
              <w:jc w:val="left"/>
              <w:rPr/>
            </w:pPr>
            <w:r>
              <w:rPr/>
              <w:t>​</w:t>
            </w:r>
          </w:p>
        </w:tc>
        <w:tc>
          <w:tcPr>
            <w:tcW w:w="4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334,678</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financial assets measured at fair value on a recurring basis as of April 30, 2026, were as follows (in thousands):</w:t>
      </w:r>
    </w:p>
    <w:p>
      <w:pPr>
        <w:pStyle w:val="TextBody"/>
        <w:bidi w:val="0"/>
        <w:spacing w:before="0" w:after="0"/>
        <w:ind w:left="0" w:right="0" w:hanging="0"/>
        <w:jc w:val="left"/>
        <w:rPr/>
      </w:pPr>
      <w:r>
        <w:rPr/>
        <w:t>​</w:t>
      </w:r>
    </w:p>
    <w:tbl>
      <w:tblPr>
        <w:tblW w:w="8378" w:type="dxa"/>
        <w:jc w:val="left"/>
        <w:tblInd w:w="0" w:type="dxa"/>
        <w:tblLayout w:type="fixed"/>
        <w:tblCellMar>
          <w:top w:w="0" w:type="dxa"/>
          <w:left w:w="0" w:type="dxa"/>
          <w:bottom w:w="0" w:type="dxa"/>
          <w:right w:w="0" w:type="dxa"/>
        </w:tblCellMar>
      </w:tblPr>
      <w:tblGrid>
        <w:gridCol w:w="2386"/>
        <w:gridCol w:w="346"/>
        <w:gridCol w:w="545"/>
        <w:gridCol w:w="896"/>
        <w:gridCol w:w="346"/>
        <w:gridCol w:w="211"/>
        <w:gridCol w:w="781"/>
        <w:gridCol w:w="346"/>
        <w:gridCol w:w="403"/>
        <w:gridCol w:w="663"/>
        <w:gridCol w:w="346"/>
        <w:gridCol w:w="211"/>
        <w:gridCol w:w="898"/>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515110" cy="175260"/>
                      <wp:effectExtent l="0" t="0" r="0" b="0"/>
                      <wp:wrapNone/>
                      <wp:docPr id="149" name="Frame149"/>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46075" cy="175260"/>
                      <wp:effectExtent l="0" t="0" r="0" b="0"/>
                      <wp:wrapNone/>
                      <wp:docPr id="151" name="Frame151"/>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68960" cy="175260"/>
                      <wp:effectExtent l="0" t="0" r="0" b="0"/>
                      <wp:wrapNone/>
                      <wp:docPr id="152" name="Frame152"/>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55905" cy="175260"/>
                      <wp:effectExtent l="0" t="0" r="0" b="0"/>
                      <wp:wrapNone/>
                      <wp:docPr id="157" name="Frame157"/>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1005" cy="175260"/>
                      <wp:effectExtent l="0" t="0" r="0" b="0"/>
                      <wp:wrapNone/>
                      <wp:docPr id="158" name="Frame158"/>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70230" cy="175260"/>
                      <wp:effectExtent l="0" t="0" r="0" b="0"/>
                      <wp:wrapNone/>
                      <wp:docPr id="161" name="Frame16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46"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45"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  ​ ​ ​</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3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center"/>
              <w:rPr/>
            </w:pPr>
            <w:r>
              <w:rPr/>
              <w:t>​</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before="0" w:after="0"/>
              <w:ind w:left="0" w:right="0" w:hanging="0"/>
              <w:jc w:val="left"/>
              <w:rPr/>
            </w:pPr>
            <w:r>
              <w:rPr/>
              <w:t>​</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46" w:type="dxa"/>
            <w:tcBorders/>
            <w:shd w:fill="CCEEFF" w:val="cle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276,031</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276,031</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276,031</w:t>
            </w:r>
          </w:p>
        </w:tc>
        <w:tc>
          <w:tcPr>
            <w:tcW w:w="346" w:type="dxa"/>
            <w:tcBorders/>
            <w:vAlign w:val="center"/>
          </w:tcPr>
          <w:p>
            <w:pPr>
              <w:pStyle w:val="TableContents"/>
              <w:bidi w:val="0"/>
              <w:spacing w:before="0" w:after="0"/>
              <w:ind w:left="0" w:right="0" w:hanging="0"/>
              <w:jc w:val="left"/>
              <w:rPr/>
            </w:pPr>
            <w:r>
              <w:rPr/>
              <w:t>​</w:t>
            </w:r>
          </w:p>
        </w:tc>
        <w:tc>
          <w:tcPr>
            <w:tcW w:w="4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276,031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57" w:name="Tc_VYv3LuPAiUOrjHYox4qBZw_9_5"/>
      <w:bookmarkStart w:id="958" w:name="Tc_VfYGGUJX8kOYsCzdXhW-1Q_9_2"/>
      <w:bookmarkStart w:id="959" w:name="Tc_WT-pvfaA-k2evKPh9j9RaA_9_0"/>
      <w:bookmarkStart w:id="960" w:name="Tc_QGiPuhvn-kerDPcgEOb2uA_8_0"/>
      <w:bookmarkStart w:id="961" w:name="Tc_FukoYu2040CS5zFNlOFSAA_7_0"/>
      <w:bookmarkStart w:id="962" w:name="Tc_0VYQOg3qf0a5XVOIvGwzlQ_6_0"/>
      <w:bookmarkStart w:id="963" w:name="Tc_e0US51BvWU-Horm9CY6x8A_5_0"/>
      <w:bookmarkStart w:id="964" w:name="Tc_sGfuUMIbvkaCqTPasma69A_4_5"/>
      <w:bookmarkStart w:id="965" w:name="Tc_NWgh9b9lJ02BNxA8GVHdTg_4_2"/>
      <w:bookmarkStart w:id="966" w:name="Tc_P39FGzZxB0KbCQvn9B371g_4_0"/>
      <w:bookmarkStart w:id="967" w:name="Tc_6dhoz9W9GkmZ9NWgKWac3w_2_5"/>
      <w:bookmarkStart w:id="968" w:name="Tc_u3ge5cDtk0ywO7EbCE8YLA_2_2"/>
      <w:bookmarkStart w:id="969" w:name="Tc_bxBWCap4Z0ehLA5nUH-fCA_1_5"/>
      <w:bookmarkStart w:id="970" w:name="Tc_gMFa1CiwTUe8c8B9rcGCPg_1_2"/>
      <w:bookmarkStart w:id="971" w:name="_d2d97f90_7fcd_4b60_a047_26ccd5b027c1"/>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rFonts w:ascii="Times New Roman;Times;serif" w:hAnsi="Times New Roman;Times;serif"/>
          <w:b/>
          <w:sz w:val="20"/>
        </w:rPr>
        <w:t>4. Inventories,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consist of the following (in thousands):</w:t>
      </w:r>
    </w:p>
    <w:p>
      <w:pPr>
        <w:pStyle w:val="TextBody"/>
        <w:bidi w:val="0"/>
        <w:spacing w:before="0" w:after="0"/>
        <w:ind w:left="0" w:right="0" w:hanging="0"/>
        <w:jc w:val="left"/>
        <w:rPr/>
      </w:pPr>
      <w:r>
        <w:rPr/>
        <w:t>​</w:t>
      </w:r>
    </w:p>
    <w:tbl>
      <w:tblPr>
        <w:tblW w:w="6813" w:type="dxa"/>
        <w:jc w:val="left"/>
        <w:tblInd w:w="0" w:type="dxa"/>
        <w:tblLayout w:type="fixed"/>
        <w:tblCellMar>
          <w:top w:w="0" w:type="dxa"/>
          <w:left w:w="0" w:type="dxa"/>
          <w:bottom w:w="0" w:type="dxa"/>
          <w:right w:w="0" w:type="dxa"/>
        </w:tblCellMar>
      </w:tblPr>
      <w:tblGrid>
        <w:gridCol w:w="3916"/>
        <w:gridCol w:w="346"/>
        <w:gridCol w:w="211"/>
        <w:gridCol w:w="796"/>
        <w:gridCol w:w="346"/>
        <w:gridCol w:w="211"/>
        <w:gridCol w:w="796"/>
        <w:gridCol w:w="19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486660" cy="175260"/>
                      <wp:effectExtent l="0" t="0" r="0" b="0"/>
                      <wp:wrapNone/>
                      <wp:docPr id="162" name="Frame162"/>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33985" cy="175260"/>
                      <wp:effectExtent l="0" t="0" r="0" b="0"/>
                      <wp:wrapNone/>
                      <wp:docPr id="164" name="Frame1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05460" cy="175260"/>
                      <wp:effectExtent l="0" t="0" r="0" b="0"/>
                      <wp:wrapNone/>
                      <wp:docPr id="165" name="Frame1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05460" cy="175260"/>
                      <wp:effectExtent l="0" t="0" r="0" b="0"/>
                      <wp:wrapNone/>
                      <wp:docPr id="168" name="Frame16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21285" cy="175260"/>
                      <wp:effectExtent l="0" t="0" r="0" b="0"/>
                      <wp:wrapNone/>
                      <wp:docPr id="169" name="Frame1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91" w:type="dxa"/>
            <w:tcBorders/>
            <w:vAlign w:val="center"/>
          </w:tcPr>
          <w:p>
            <w:pPr>
              <w:pStyle w:val="TableContents"/>
              <w:bidi w:val="0"/>
              <w:spacing w:before="0" w:after="0"/>
              <w:ind w:left="0" w:right="0" w:hanging="0"/>
              <w:jc w:val="left"/>
              <w:rPr/>
            </w:pPr>
            <w:r>
              <w:rPr/>
              <w:t> </w:t>
            </w:r>
          </w:p>
        </w:tc>
      </w:tr>
      <w:tr>
        <w:trPr/>
        <w:tc>
          <w:tcPr>
            <w:tcW w:w="681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73,289</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349,446</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inventory excess and obsolescence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(39,251)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410,773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312,856</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Equity Method Investments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Investments in Limited Partnership Funds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as of April 30, 2022. During the fiscal year ended April 30, 2026, the Company received a distribution of $528,000. In March 2022, the Company entered into a second similar limited partnership fund and committed to contributions totaling $20,000,000 over an expected five year period. As of April 30, 2026, the Company has made total contributions of $19,069,000, and under the terms of the limited partnership agreement, the Company has committed to make additional capital contributions of $931,000 to the fund expected to be during this fiscal year. In May 2026, the Company entered into a third similar limited partnership and committed to contributions totaling $20,000,000 over an expected five year period. The Company accounts for investments in limited partnerships as equity method investments as the Company is deemed to have influence when it holds more than a minor interest.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August 1, 2026 and August 2, 2025, the Company recorded its ownership percentage of the net gain of equity method investments of $1,867,000 and $1,787,000 net of tax of $0 and $0, respectively, in equity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method investment income within the unaudited condensed consolidated statements of operations, respectively. As of August 1, 2026</w:t>
      </w:r>
      <w:r>
        <w:rPr>
          <w:rFonts w:ascii="Times New Roman;Times;serif" w:hAnsi="Times New Roman;Times;serif"/>
          <w:sz w:val="20"/>
          <w:shd w:fill="FFFFFF" w:val="clear"/>
        </w:rPr>
        <w:t xml:space="preserve"> </w:t>
      </w:r>
      <w:r>
        <w:rPr>
          <w:rFonts w:ascii="Times New Roman;Times;serif" w:hAnsi="Times New Roman;Times;serif"/>
          <w:sz w:val="20"/>
        </w:rPr>
        <w:t>and April 30, 2026, the carrying value of the equity method investments of $53,746,000 and $51,880,000, respectively, was recorded in long-term investments.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72" w:name="Tc_1Ul3tiZdZEG8YZHn-DxDsg_8_5"/>
      <w:bookmarkStart w:id="973" w:name="Tc_RR9wpsb6TEqVQdo6QH7C2g_8_2"/>
      <w:bookmarkStart w:id="974" w:name="Tc_GiUMD56CqkGU8I_CVEX65g_8_0"/>
      <w:bookmarkStart w:id="975" w:name="Tc_gI_uHTzTWUKI3Xv3Abej6w_7_0"/>
      <w:bookmarkStart w:id="976" w:name="Tc_Zyo1tAqUFEG1IMEp4AlScQ_6_0"/>
      <w:bookmarkStart w:id="977" w:name="Tc_6QN112Q8yk6_1NnxK19s1A_5_3"/>
      <w:bookmarkStart w:id="978" w:name="Tc_K9LHBSQP7UifX4-842D5jg_5_0"/>
      <w:bookmarkStart w:id="979" w:name="Tc_OlDXgmYR9E2e48Fe3Dg2IQ_4_5"/>
      <w:bookmarkStart w:id="980" w:name="Tc_cI4OYSDUwku3L0tQLGBcLQ_4_2"/>
      <w:bookmarkStart w:id="981" w:name="Tc_Ps14qAO3nkGcg1PWlR9ltQ_4_0"/>
      <w:bookmarkStart w:id="982" w:name="Tc_mcYwvD-pt0uCtzW2_fLRKg_3_5"/>
      <w:bookmarkStart w:id="983" w:name="Tc_Me4mr_dr102rEET19-xx-g_3_2"/>
      <w:bookmarkStart w:id="984" w:name="Tc_xAXIMYRpNEaFLNQ7e87SWw_2_5"/>
      <w:bookmarkStart w:id="985" w:name="Tc_3NKrunmSYkmoThqQdFt1oQ_2_2"/>
      <w:bookmarkStart w:id="986" w:name="Tc_nbh_NTBi-k2aNZEynmU8cg_1_2"/>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r>
        <w:rPr>
          <w:rFonts w:ascii="Times New Roman;Times;serif" w:hAnsi="Times New Roman;Times;serif"/>
          <w:b/>
          <w:sz w:val="20"/>
        </w:rPr>
        <w:t>6. Warranty Reserves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 xml:space="preserve">and </w:t>
      </w:r>
      <w:r>
        <w:rPr>
          <w:rFonts w:ascii="Times New Roman;Times;serif" w:hAnsi="Times New Roman;Times;serif"/>
          <w:sz w:val="20"/>
          <w:shd w:fill="FFFFFF" w:val="clear"/>
        </w:rPr>
        <w:t>August 2, 2025</w:t>
      </w:r>
      <w:r>
        <w:rPr>
          <w:rFonts w:ascii="Times New Roman;Times;serif" w:hAnsi="Times New Roman;Times;serif"/>
          <w:sz w:val="20"/>
        </w:rPr>
        <w:t>, respectively (in thousands):</w:t>
      </w:r>
    </w:p>
    <w:p>
      <w:pPr>
        <w:pStyle w:val="TextBody"/>
        <w:bidi w:val="0"/>
        <w:spacing w:before="0" w:after="0"/>
        <w:ind w:left="0" w:right="0" w:hanging="0"/>
        <w:jc w:val="left"/>
        <w:rPr/>
      </w:pPr>
      <w:r>
        <w:rPr/>
        <w:t>​</w:t>
      </w:r>
    </w:p>
    <w:tbl>
      <w:tblPr>
        <w:tblW w:w="5454" w:type="dxa"/>
        <w:jc w:val="left"/>
        <w:tblInd w:w="0" w:type="dxa"/>
        <w:tblLayout w:type="fixed"/>
        <w:tblCellMar>
          <w:top w:w="0" w:type="dxa"/>
          <w:left w:w="0" w:type="dxa"/>
          <w:bottom w:w="0" w:type="dxa"/>
          <w:right w:w="0" w:type="dxa"/>
        </w:tblCellMar>
      </w:tblPr>
      <w:tblGrid>
        <w:gridCol w:w="2911"/>
        <w:gridCol w:w="346"/>
        <w:gridCol w:w="211"/>
        <w:gridCol w:w="691"/>
        <w:gridCol w:w="346"/>
        <w:gridCol w:w="214"/>
        <w:gridCol w:w="581"/>
        <w:gridCol w:w="154"/>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848485" cy="175260"/>
                      <wp:effectExtent l="0" t="0" r="0" b="0"/>
                      <wp:wrapNone/>
                      <wp:docPr id="170" name="Frame170"/>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38785" cy="175260"/>
                      <wp:effectExtent l="0" t="0" r="0" b="0"/>
                      <wp:wrapNone/>
                      <wp:docPr id="173" name="Frame1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5890" cy="175260"/>
                      <wp:effectExtent l="0" t="0" r="0" b="0"/>
                      <wp:wrapNone/>
                      <wp:docPr id="175" name="Frame175"/>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68935" cy="175260"/>
                      <wp:effectExtent l="0" t="0" r="0" b="0"/>
                      <wp:wrapNone/>
                      <wp:docPr id="176" name="Frame176"/>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7790" cy="175260"/>
                      <wp:effectExtent l="0" t="0" r="0" b="0"/>
                      <wp:wrapNone/>
                      <wp:docPr id="177" name="Frame17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acquired from acquisition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2,274</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settled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w:t>
            </w:r>
          </w:p>
        </w:tc>
        <w:tc>
          <w:tcPr>
            <w:tcW w:w="346" w:type="dxa"/>
            <w:tcBorders/>
            <w:vAlign w:val="center"/>
          </w:tcPr>
          <w:p>
            <w:pPr>
              <w:pStyle w:val="TableContents"/>
              <w:bidi w:val="0"/>
              <w:spacing w:before="0" w:after="0"/>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12,470</w:t>
            </w:r>
          </w:p>
        </w:tc>
        <w:tc>
          <w:tcPr>
            <w:tcW w:w="346" w:type="dxa"/>
            <w:tcBorders/>
            <w:shd w:fill="CCEE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6,283</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987" w:name="Tc_tIrnGsNJ102ozC7BG6X0og_8_2"/>
      <w:bookmarkStart w:id="988" w:name="Tc_Z1IvVr8LikGWirD_OXLVbg_7_0"/>
      <w:bookmarkStart w:id="989" w:name="Tc_rSV5ajta2Eive5W9vl2oaw_6_0"/>
      <w:bookmarkStart w:id="990" w:name="Tc_HsdYaSDO4kmCTqiU5EU1GQ_5_0"/>
      <w:bookmarkStart w:id="991" w:name="Tc_5pM408M1okatvILQkNfJ9A_4_0"/>
      <w:bookmarkStart w:id="992" w:name="Tc_8Qzojjbp_0qbLV0ofD5OIw_3_2"/>
      <w:bookmarkStart w:id="993" w:name="Tc_v7mcCh0JE0KtRysHUHXUdA_3_0"/>
      <w:bookmarkStart w:id="994" w:name="Tc_eADHdc6Y-ESZH6M36CrgGA_2_2"/>
      <w:bookmarkStart w:id="995" w:name="Tc_j8quR4rnRUug4mxf8oTHqQ_1_2"/>
      <w:bookmarkStart w:id="996" w:name="_8c632472_c08a_4f23_852f_1970b0161abb"/>
      <w:bookmarkStart w:id="997" w:name="Tc_g1jTkhPv0kKfQo5_AiDEOQ_13_5"/>
      <w:bookmarkStart w:id="998" w:name="Tc_H66fmVB8gUW9AWyyw5zWIQ_13_2"/>
      <w:bookmarkStart w:id="999" w:name="Tc_QmQUrURcOkOo0JvDuQGnOA_13_0"/>
      <w:bookmarkStart w:id="1000" w:name="Tc_Xg8G58rEL0i3_qwowXbpEw_12_0"/>
      <w:bookmarkStart w:id="1001" w:name="Tc_NPNklpUzek6ZQ76_kf915A_11_0"/>
      <w:bookmarkStart w:id="1002" w:name="Tc_Lp1W8tueSEaEh3hqjlffJg_10_0"/>
      <w:bookmarkStart w:id="1003" w:name="Tc_x2A6YpWF3kyHvTsYhRz5oA_9_0"/>
      <w:bookmarkStart w:id="1004" w:name="Tc_iHwHWgRMQ0Wmip3R5r3Nkw_8_0"/>
      <w:bookmarkStart w:id="1005" w:name="Tc_YTR4HmE1DUm3Mup1_6C7Tw_7_0"/>
      <w:bookmarkStart w:id="1006" w:name="Tc_ZRrS4N1bU0SUxRs7oDEiIQ_6_0"/>
      <w:bookmarkStart w:id="1007" w:name="Tc_FYP2Y2HnGkqovikBcp5c7g_5_0"/>
      <w:bookmarkStart w:id="1008" w:name="Tc_TRo2HqH5DEa_HvDXOL1S1A_4_0"/>
      <w:bookmarkStart w:id="1009" w:name="Tc_m9-rwGpwT0Cm6tQ55ukOmw_3_5"/>
      <w:bookmarkStart w:id="1010" w:name="Tc_vWu57JfK60SG8kZklsQ74w_3_2"/>
      <w:bookmarkStart w:id="1011" w:name="Tc_H79n5MUHkEuUZsizQ8hvRA_3_0"/>
      <w:bookmarkStart w:id="1012" w:name="Tc_Yr1H6k4z_Em_5_ZePPKkDA_2_5"/>
      <w:bookmarkStart w:id="1013" w:name="Tc_PInVIjvJCUadC3zVQ9tQjg_2_2"/>
      <w:bookmarkStart w:id="1014" w:name="Tc_runDkaW-kkGRW9mcvC5c_A_1_5"/>
      <w:bookmarkStart w:id="1015" w:name="Tc_AgR_GXyl1E6Jq-H10IW0-w_1_2"/>
      <w:bookmarkStart w:id="1016" w:name="_ffd6d9d5_a0e7_4634_bf05_6d2a05c1212c"/>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Pr>
          <w:rFonts w:ascii="Times New Roman;Times;serif" w:hAnsi="Times New Roman;Times;serif"/>
          <w:b/>
          <w:sz w:val="20"/>
        </w:rPr>
        <w:t>7. Intangibles,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intangibles are as follows (in thousands):</w:t>
      </w:r>
    </w:p>
    <w:p>
      <w:pPr>
        <w:pStyle w:val="TextBody"/>
        <w:bidi w:val="0"/>
        <w:spacing w:before="0" w:after="0"/>
        <w:ind w:left="0" w:right="0" w:hanging="0"/>
        <w:jc w:val="left"/>
        <w:rPr/>
      </w:pPr>
      <w:r>
        <w:rPr/>
        <w:t>​</w:t>
      </w:r>
    </w:p>
    <w:tbl>
      <w:tblPr>
        <w:tblW w:w="6236" w:type="dxa"/>
        <w:jc w:val="left"/>
        <w:tblInd w:w="0" w:type="dxa"/>
        <w:tblLayout w:type="fixed"/>
        <w:tblCellMar>
          <w:top w:w="0" w:type="dxa"/>
          <w:left w:w="0" w:type="dxa"/>
          <w:bottom w:w="0" w:type="dxa"/>
          <w:right w:w="0" w:type="dxa"/>
        </w:tblCellMar>
      </w:tblPr>
      <w:tblGrid>
        <w:gridCol w:w="3106"/>
        <w:gridCol w:w="346"/>
        <w:gridCol w:w="211"/>
        <w:gridCol w:w="931"/>
        <w:gridCol w:w="346"/>
        <w:gridCol w:w="211"/>
        <w:gridCol w:w="931"/>
        <w:gridCol w:w="154"/>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972310" cy="175260"/>
                      <wp:effectExtent l="0" t="0" r="0" b="0"/>
                      <wp:wrapNone/>
                      <wp:docPr id="178" name="Frame178"/>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91185" cy="175260"/>
                      <wp:effectExtent l="0" t="0" r="0" b="0"/>
                      <wp:wrapNone/>
                      <wp:docPr id="181" name="Frame1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91185" cy="175260"/>
                      <wp:effectExtent l="0" t="0" r="0" b="0"/>
                      <wp:wrapNone/>
                      <wp:docPr id="184" name="Frame18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97790" cy="175260"/>
                      <wp:effectExtent l="0" t="0" r="0" b="0"/>
                      <wp:wrapNone/>
                      <wp:docPr id="185" name="Frame18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585,806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585,970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618,658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618,730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58,131</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In-process 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 and tradenames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gross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1,271,253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1,271,523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(384,784)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(341,697)</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886,469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929,826</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 average amortization period as of August 1, 2026</w:t>
      </w:r>
      <w:r>
        <w:rPr>
          <w:rFonts w:ascii="Times New Roman;Times;serif" w:hAnsi="Times New Roman;Times;serif"/>
          <w:sz w:val="20"/>
          <w:shd w:fill="FFFFFF" w:val="clear"/>
        </w:rPr>
        <w:t xml:space="preserve"> </w:t>
      </w:r>
      <w:r>
        <w:rPr>
          <w:rFonts w:ascii="Times New Roman;Times;serif" w:hAnsi="Times New Roman;Times;serif"/>
          <w:sz w:val="20"/>
        </w:rPr>
        <w:t xml:space="preserve">and April 30, 2026 was </w:t>
      </w:r>
      <w:r>
        <w:rPr>
          <w:rFonts w:ascii="Times New Roman;Times;serif" w:hAnsi="Times New Roman;Times;serif"/>
          <w:b w:val="false"/>
          <w:i w:val="false"/>
          <w:caps w:val="false"/>
          <w:smallCaps w:val="false"/>
          <w:sz w:val="20"/>
        </w:rPr>
        <w:t>six</w:t>
      </w:r>
      <w:r>
        <w:rPr>
          <w:rFonts w:ascii="Times New Roman;Times;serif" w:hAnsi="Times New Roman;Times;serif"/>
          <w:sz w:val="20"/>
        </w:rPr>
        <w:t xml:space="preserve"> and six years, respectively. Amortization expense for the three months ended August 1</w:t>
      </w:r>
      <w:r>
        <w:rPr>
          <w:rFonts w:ascii="Times New Roman;Times;serif" w:hAnsi="Times New Roman;Times;serif"/>
          <w:sz w:val="20"/>
          <w:shd w:fill="FFFFFF" w:val="clear"/>
        </w:rPr>
        <w:t xml:space="preserve">, 2026 and </w:t>
      </w:r>
      <w:r>
        <w:rPr>
          <w:rFonts w:ascii="Times New Roman;Times;serif" w:hAnsi="Times New Roman;Times;serif"/>
          <w:sz w:val="20"/>
        </w:rPr>
        <w:t>August 2</w:t>
      </w:r>
      <w:r>
        <w:rPr>
          <w:rFonts w:ascii="Times New Roman;Times;serif" w:hAnsi="Times New Roman;Times;serif"/>
          <w:sz w:val="20"/>
          <w:shd w:fill="FFFFFF" w:val="clear"/>
        </w:rPr>
        <w:t xml:space="preserve">, 2025 </w:t>
      </w:r>
      <w:r>
        <w:rPr>
          <w:rFonts w:ascii="Times New Roman;Times;serif" w:hAnsi="Times New Roman;Times;serif"/>
          <w:sz w:val="20"/>
        </w:rPr>
        <w:t>was $43,357,000 and $58,161,000,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remaining amortization expense for the next five years is as follows (in thousands):</w:t>
      </w:r>
    </w:p>
    <w:p>
      <w:pPr>
        <w:pStyle w:val="TextBody"/>
        <w:bidi w:val="0"/>
        <w:spacing w:before="0" w:after="0"/>
        <w:ind w:left="0" w:right="0" w:hanging="0"/>
        <w:jc w:val="left"/>
        <w:rPr/>
      </w:pPr>
      <w:r>
        <w:rPr/>
        <w:t>​</w:t>
      </w:r>
    </w:p>
    <w:tbl>
      <w:tblPr>
        <w:tblW w:w="2070" w:type="dxa"/>
        <w:jc w:val="left"/>
        <w:tblInd w:w="0" w:type="dxa"/>
        <w:tblLayout w:type="fixed"/>
        <w:tblCellMar>
          <w:top w:w="0" w:type="dxa"/>
          <w:left w:w="0" w:type="dxa"/>
          <w:bottom w:w="0" w:type="dxa"/>
          <w:right w:w="0" w:type="dxa"/>
        </w:tblCellMar>
      </w:tblPr>
      <w:tblGrid>
        <w:gridCol w:w="541"/>
        <w:gridCol w:w="346"/>
        <w:gridCol w:w="211"/>
        <w:gridCol w:w="781"/>
        <w:gridCol w:w="19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43535" cy="175260"/>
                      <wp:effectExtent l="0" t="0" r="0" b="0"/>
                      <wp:wrapNone/>
                      <wp:docPr id="186" name="Frame186"/>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95935" cy="175260"/>
                      <wp:effectExtent l="0" t="0" r="0" b="0"/>
                      <wp:wrapNone/>
                      <wp:docPr id="189" name="Frame1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1285" cy="175260"/>
                      <wp:effectExtent l="0" t="0" r="0" b="0"/>
                      <wp:wrapNone/>
                      <wp:docPr id="190" name="Frame19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ending</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129,800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165,242</w:t>
            </w:r>
          </w:p>
        </w:tc>
        <w:tc>
          <w:tcPr>
            <w:tcW w:w="191" w:type="dxa"/>
            <w:tcBorders/>
            <w:vAlign w:val="center"/>
          </w:tcPr>
          <w:p>
            <w:pPr>
              <w:pStyle w:val="TableContents"/>
              <w:bidi w:val="0"/>
              <w:spacing w:before="0" w:after="0"/>
              <w:ind w:left="0" w:right="0" w:hanging="0"/>
              <w:jc w:val="left"/>
              <w:rPr/>
            </w:pPr>
            <w:r>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160,271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137,236</w:t>
            </w:r>
          </w:p>
        </w:tc>
        <w:tc>
          <w:tcPr>
            <w:tcW w:w="191" w:type="dxa"/>
            <w:tcBorders/>
            <w:vAlign w:val="center"/>
          </w:tcPr>
          <w:p>
            <w:pPr>
              <w:pStyle w:val="TableContents"/>
              <w:bidi w:val="0"/>
              <w:spacing w:before="0" w:after="0"/>
              <w:ind w:left="0" w:right="0" w:hanging="0"/>
              <w:jc w:val="left"/>
              <w:rPr/>
            </w:pPr>
            <w:r>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78,624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671,173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17" w:name="Tc_ljH0ER_73EW_qv-dNEm-Rg_10_8"/>
      <w:bookmarkStart w:id="1018" w:name="Tc_-gx3CtrsGUmuD5QfltlLoA_10_5"/>
      <w:bookmarkStart w:id="1019" w:name="Tc_POVwL2YNC02PxP6ngdxpig_10_2"/>
      <w:bookmarkStart w:id="1020" w:name="Tc_YT_zZMkoDEW57fZbM4V_vA_10_0"/>
      <w:bookmarkStart w:id="1021" w:name="Tc_roXJsX0PNkuyFZxsiXRQIQ_9_0"/>
      <w:bookmarkStart w:id="1022" w:name="Tc_E9uMr_mX0Uu1uA69Kc0B3g_8_0"/>
      <w:bookmarkStart w:id="1023" w:name="Tc_SKiK3RNT70CbrNJn-L1F6w_6_6"/>
      <w:bookmarkStart w:id="1024" w:name="Tc_dg1ZSrS4F0yUT0VaDg4ZfQ_6_0"/>
      <w:bookmarkStart w:id="1025" w:name="Tc_VAv4qcugQUOgWZ-we0CA1A_4_0"/>
      <w:bookmarkStart w:id="1026" w:name="Tc_DBR0aKN8PEin06muEBvkZQ_3_0"/>
      <w:bookmarkStart w:id="1027" w:name="Tc_oPCF00zGvE6EFkeDulKy4w_2_8"/>
      <w:bookmarkStart w:id="1028" w:name="Tc_Zy0s9TxXm0GsI3SuJ-RG5w_2_5"/>
      <w:bookmarkStart w:id="1029" w:name="Tc_cxbIKG7p60WxP8LUsSe9ZA_2_2"/>
      <w:bookmarkStart w:id="1030" w:name="Tc_B0IOqnRyikCv_ACUTlVndQ_2_0"/>
      <w:bookmarkStart w:id="1031" w:name="Tc_k3-expAkNU2Fewsl8CrH_Q_1_8"/>
      <w:bookmarkStart w:id="1032" w:name="Tc_SbI-JOS1Ik6uQcYgEVscjA_1_5"/>
      <w:bookmarkStart w:id="1033" w:name="Tc_ekdP6cIjV0WeTphWCSkWHQ_1_2"/>
      <w:bookmarkStart w:id="1034" w:name="_33a898bb_13b8_42a7_87f4_62d162973a1e"/>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r>
        <w:rPr>
          <w:rFonts w:ascii="Times New Roman;Times;serif" w:hAnsi="Times New Roman;Times;serif"/>
          <w:b/>
          <w:sz w:val="20"/>
        </w:rPr>
        <w:t>8. Goodwill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changes in the Company’s goodwill balance by segment (in thousands):</w:t>
      </w:r>
    </w:p>
    <w:p>
      <w:pPr>
        <w:pStyle w:val="TextBody"/>
        <w:bidi w:val="0"/>
        <w:spacing w:before="0" w:after="0"/>
        <w:ind w:left="0" w:right="0" w:hanging="0"/>
        <w:jc w:val="left"/>
        <w:rPr/>
      </w:pPr>
      <w:r>
        <w:rPr/>
        <w:t>​</w:t>
      </w:r>
    </w:p>
    <w:tbl>
      <w:tblPr>
        <w:tblW w:w="6571" w:type="dxa"/>
        <w:jc w:val="left"/>
        <w:tblInd w:w="0" w:type="dxa"/>
        <w:tblLayout w:type="fixed"/>
        <w:tblCellMar>
          <w:top w:w="0" w:type="dxa"/>
          <w:left w:w="0" w:type="dxa"/>
          <w:bottom w:w="0" w:type="dxa"/>
          <w:right w:w="0" w:type="dxa"/>
        </w:tblCellMar>
      </w:tblPr>
      <w:tblGrid>
        <w:gridCol w:w="2701"/>
        <w:gridCol w:w="109"/>
        <w:gridCol w:w="211"/>
        <w:gridCol w:w="931"/>
        <w:gridCol w:w="109"/>
        <w:gridCol w:w="211"/>
        <w:gridCol w:w="931"/>
        <w:gridCol w:w="109"/>
        <w:gridCol w:w="211"/>
        <w:gridCol w:w="1048"/>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15135" cy="175260"/>
                      <wp:effectExtent l="0" t="0" r="0" b="0"/>
                      <wp:wrapNone/>
                      <wp:docPr id="191" name="Frame191"/>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9215" cy="175260"/>
                      <wp:effectExtent l="0" t="0" r="0" b="0"/>
                      <wp:wrapNone/>
                      <wp:docPr id="192" name="Frame1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591185" cy="175260"/>
                      <wp:effectExtent l="0" t="0" r="0" b="0"/>
                      <wp:wrapNone/>
                      <wp:docPr id="194" name="Frame19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9215" cy="175260"/>
                      <wp:effectExtent l="0" t="0" r="0" b="0"/>
                      <wp:wrapNone/>
                      <wp:docPr id="195" name="Frame1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591185" cy="175260"/>
                      <wp:effectExtent l="0" t="0" r="0" b="0"/>
                      <wp:wrapNone/>
                      <wp:docPr id="197" name="Frame19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65480" cy="175260"/>
                      <wp:effectExtent l="0" t="0" r="0" b="0"/>
                      <wp:wrapNone/>
                      <wp:docPr id="200" name="Frame200"/>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1,458,822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1,449,940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2,908,762</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impairment losses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(415,084)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April 30,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1,284,446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1,209,232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2,493,678</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r>
      <w:tr>
        <w:trPr/>
        <w:tc>
          <w:tcPr>
            <w:tcW w:w="27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1,449,940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2,908,970</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impairment losses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(415,084)</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August 1, 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1,284,654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1,209,232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2,493,886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AxS segment includes goodwill from the acquisitions of ESAero, Pulse Aerospace, LLC, Arcturus UAV, Inc., Telerob Gesellschaft für Fernhantierungstechnik mbH (“Telerob”), which has since been fully impaired, Planck Aerosystems, Inc., Tomahawk Robotics, Inc. (“Tomahawk”), certain reporting units from BlueHalo and includes goodwill from the purchase of certain assets of Intelligent Systems Group business segment of Progeny Systems Corporation. The SCDE segment includes goodwill from certain reporting units from BlueHalo.</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August 1, 2026, the additions relate to adjustments to the purchase price allocation of the ESAero acquisition. Refer to Note 15—Business Acquisitions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most recent annual impairment test during the fourth quarter of fiscal year 2026, the estimated fair value of all reporting units with goodwill from acquisitions in years prior to fiscal year 2026 substantially exceeded their carrying value. The reporting units from the BlueHalo and ESAero acquisitions were recently recorded at estimated fair value during the fiscal year ended April 30, 2026 and no triggering event for goodwill impairment was since identified with the exception of the Space reporting unit for which a triggering event was identified in January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Space reporting unit, included in the SCDE reportable segment, is considered to have an increased risk of failing future quantitative goodwill impairment tests as an impairment was recorded during the quarter ended January 31, 2026. The Company’s annual impairment test for the fiscal year ending April 30, 2027 will be performed during the fourth quarter of fiscal year 2027 or if interim triggering events are identified.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Credit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consummation of the Arcturus Acquisition on February 19, 2021, the Company, as borrower, and Arcturus, as guarantor, entered into a Credit Agreement with certain lenders, letter of credit issuers, Bank of America, N.A. (“BofA NA”), as the administrative agent and the swingline lender, and BofA Securities, Inc., JPMorgan Chase Bank, N.A. (“JPM”), and U.S. Bank National Association (“U.S. Bank”), as joint lead arrangers and joint bookrunners (the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Credit Agreement and its associated Security and Pledge Agreement set forth the terms and conditions for (i) a five-year $100,000,000 revolving credit facility, which included a $10,000,000 sublimit for the issuance of standby and commercial letters of credit (the “Revolving Facility”), and (ii) a five-year amortized $200,000,000 term A loan drawn in full upon execution (the “Term Loan Facility”, and together with the Revolving Facility, the “Credit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4, 2022, the Company entered into a First Amendment to Credit Agreement and Waiver relating to its existing Credit Agreement. On June 6, 2023, the Company entered into a Second Amendment to Credit Agreement relating to its existing credit Agreement which increased the sublimit from $10,000,000 to $25,000,000. On October 4, 2024, the Company entered into a Third Amendment to Credit Agreement with the existing lenders, BofA NA,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agent and the swingline lender, JPM, and U.S. Bank, and Citibank, N.A. (“Citibank”) (the “Third Amendment to Credit Agreement”). The Third Amendment to Credit Agreement provided for an aggregate $200,000,000 revolving credit facility, including a $25,000,000 sublimit for the issuance of standby and commercial letters of credit, and a $10,000,000 sublimit for swingline loans, secured by all assets of the Company and the Guarantors, and extends the maturity date for obligations pursuant to the Credit Agreement to October 4, 2029. Upon effectiveness of the Third Amendment to Credit Agreement, the Company drew $15,000,000 from the amended Revolving Facility and repaid in full all outstanding amounts owed pursuant to the $200,000,000 Term Loan Facility. The Third Amendment to Credit Agreement reflects the removal of the Term Loan Facility. The unamortized debt issuance costs allocated to the Term Loan Facility of $590,000 were expensed upon repayment of the Term Loan Facility and recorded in interest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 2025, in connection with the consummation of the BlueHalo Acquisition, the Company entered into a Fourth Amendment to Credit Agreement with the lenders, BofA NA, the administrative agent and the swingline lender, JPM, and U.S. Bank, and Citibank (the “Fourth Amendment to Credit Agreement” and the existing Credit Agreement as amended by the First Amendment to Credit Agreement, the Second Amendment to Credit Agreement, Third Amendment to Credit Agreement and Fourth Amendment to Credit Agreement, the “Amended Credit Agreement”). The Amended Credit Agreement now provides for an aggregate $700,000,000 term loan (the “Fourth Amendment Term Loan Facility”) and an aggregate $350,000,000 revolving credit facility, including a $25,000,000 sublimit for the issuance of standby and commercial letters of credit, and a $10,000,000 sublimit for swingline loans, secured by all assets of the Company and the Guarantors. Upon effectiveness of the Amended Credit Agreement, the Company drew $225,000,000 from the amended Revolving Facility and the full $700,000,000 of the Fourth Amendment Term Loan Facility. In June 2025, the Company drew an additional $10,000,000 under the Revolving Facility.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the Company used approximately $965,303,000 of the net proceeds from the Convertible Notes Offering (as defined below) and Common Stock Offering (as defined below) to repay indebtedness under the Fourth Amendment Term Loan Facility and outstanding borrowings under the Revolving Facility. Refer to Note 9—Debt and Note 14—Share Issuances, respectively, for further details. The unamortized debt issuance costs allocated to the Fourth Amendment Term Loan Facility of $6,668,000 were expensed upon repayment of the Fourth Amendment Term Loan Facility and recorded as interest expense in the consolidated statements of operations. The Revolver Facility remains open and available to the Company.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ability to borrow under the Revolving Facility is reduced by outstanding letters of credit, which as of August 1, 2026 and April 30, 2026 was $13,019,000 and $13,152,000, respectively. As of August 1, 2026 and April 30, 2026, approximately $336,981,000 and $336,848,000 was available under the Revolving Facility, respectively. The $700,000,000 Fourth Amendment Term Loan Facility has been repaid in full and closed; although new term loans can be renegotiated and issued under the Credit Facility. Borrowings under the Revolving Facility may be used for working capital and other general corporate purposes, including acquisitions that meet certain parameters. As of August 1, 2026, the Company was in compliance with all amended covenants.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Convertible Notes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the Company entered into an underwriting agreement (the “Note Underwriting Agreement”) with certain underwriters (the “Note Underwriters”) agreeing, subject to customary conditions, to issue and sell $650,000,000 aggregate principal amount of the Company’s 0% Convertible Senior Notes due 2030 (the “Notes”) to the Note Underwriters as well as an option, exercisable within 30 days after entering the Note Underwriting Agreement, to purchase up to an additional $97,500,000 aggregate principal amount of Notes solely to cover over-allotments (the “Convertible Notes Offering”). The Note Underwriters exercised such option to purchase an additional $97,500,000 aggregate principal amount of Notes. The issuance of $747,500,000 aggregate principal amount of Notes was completed in July 2025. The estimated fair value (Level 2) of the zero-coupon convertible note maturing on July 15, 2030 was $680,973,000 and $760,656,000 as of August 1, 2026 and April 30, 2026,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Notes were issued pursuant to, and are governed by, an indenture (the “Base Indenture”), dated as of July 3, 2025, between the Company and U.S. Bank Trust Company, National Association, as trustee (the “Trustee”), as supplemented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a first supplemental indenture (the “Supplemental Indenture,” and the Base Indenture, as supplemented by the Supplemental Indenture, the “Indenture”), dated as of July 3, 2025, between the Company and the Trustee.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including any borrowings under the Company’s Revolving Credit Facility; and (iv) structurally subordinated to all existing and future indebtedness and other liabilities, including trade payables, and (to the extent the Company is not a holder thereof) preferred equity, if any, of the Company’s subsidiaries.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Notes do not bear regular interest, and the principal amount of the Notes will not accrete. Special interest will accrue on the Notes upon the occurrence of certain events relating to the Company's failure to file certain SEC reports as provided in the Indenture. The Notes will mature on July 15, 2030, unless earlier repurchased, redeemed or converted. Before April 15, 2030, noteholders have the right to convert their Notes only upon the occurrence of certain events. From and after April 15, 2030,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Upon conversion of any Note, the consideration due upon conversion, which will be determined over an “Observation Period” (as defined in the Indenture) consisting of 60 consecutive trading days, will be paid in cash up to at least the principal amount of the Notes being converted and the Company will pay or deliver, as the case may be, cash, shares of the Company’s common stock or a combination of cash and shares of the Company’s common stock, at the Company’s election, in respect of the remainder, if any, of the Company’s conversion obligation in excess of the principal amount of the Notes being converted. The initial conversion rate is 3.1017 shares of the Company's common stock per $1,000 principal amount of Notes, which represents an initial conversion price of approximately $322.40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Notes will be redeemable, in whole or in part (subject to certain limitations described below), at the Company’s option at any time, and from time to time, on or after July 21, 2028 and on or before the 61st scheduled trading day immediately before the maturity date, at a cash redemption price equal to the principal amount of the Notes to be redeemed, plus accrued and unpaid special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certain events that constitute a “Fundamental Change” (as defined in the Indenture) occur, then, subject to a limited exception for certain cash mergers as provided in the Indenture, noteholders may require the Company to repurchase their Notes at a cash repurchase price equal to the principal amount of the Notes to be repurchased, plus accrued and unpaid special interest, if any, to, but excluding, the fundamental change repurchase date. The definition in the Indenture of Fundamental Change includes certain business combination transactions involving the Company and certain de-listing events with respect to the Company’s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Notes have customary provisions relating to the occurrence of “Events of Default” (as defined in the Indenture), which include the following: (i) certain payment defaults on the Notes (which, in the case of a default in the payment of special interest on the Notes, will be subject to a </w:t>
      </w:r>
      <w:r>
        <w:rPr>
          <w:rFonts w:ascii="Times New Roman;Times;serif" w:hAnsi="Times New Roman;Times;serif"/>
          <w:b w:val="false"/>
          <w:i w:val="false"/>
          <w:caps w:val="false"/>
          <w:smallCaps w:val="false"/>
          <w:sz w:val="20"/>
        </w:rPr>
        <w:t>30-day</w:t>
      </w:r>
      <w:r>
        <w:rPr>
          <w:rFonts w:ascii="Times New Roman;Times;serif" w:hAnsi="Times New Roman;Times;serif"/>
          <w:sz w:val="20"/>
        </w:rPr>
        <w:t xml:space="preserve"> cure period); (ii) the Company’s failure to send certain notices under the Indenture within specified periods of time; (iii) the Company’s failure to convert a Note in accordance with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35" w:name="Tc_6YBuVIM5REqEylJcDRC_Qw_7_2"/>
      <w:bookmarkStart w:id="1036" w:name="Tc_HSDRzkZHm0qj0sRiBiprbg_6_0"/>
      <w:bookmarkStart w:id="1037" w:name="Tc_0a5R4QNNh0Kwph2FFxGHSg_5_3"/>
      <w:bookmarkStart w:id="1038" w:name="Tc_h5dr91zzzkWNj3pOqeklJw_5_0"/>
      <w:bookmarkStart w:id="1039" w:name="Tc_vcl3GOMtGkG9zOxUKVh7TQ_4_3"/>
      <w:bookmarkStart w:id="1040" w:name="Tc_R34UNXJwBUS8ycnNNO3RAQ_4_0"/>
      <w:bookmarkStart w:id="1041" w:name="Tc_wUXGkWRlFky9ZzeV22sMBw_3_3"/>
      <w:bookmarkStart w:id="1042" w:name="Tc_Q6v9noITWkGytVoibtavCA_3_0"/>
      <w:bookmarkStart w:id="1043" w:name="Tc_Tog18mtM4Em9RiNfwLfDxQ_2_3"/>
      <w:bookmarkStart w:id="1044" w:name="Tc_JZd6LB6tZka_1oDOT3AONQ_2_2"/>
      <w:bookmarkStart w:id="1045" w:name="Tc_gRyXYq5Le0yBqld0OgX-KA_2_0"/>
      <w:bookmarkStart w:id="1046" w:name="Tc_0L3900c8Uk62ojPSJMHYwQ_1_2"/>
      <w:bookmarkStart w:id="1047" w:name="Tc_uBWpqCRHek-DBsqcdAz_vg_1_0"/>
      <w:bookmarkStart w:id="1048" w:name="Tc_t0UtPSXwr02RaZ-kmoglGQ_9_6"/>
      <w:bookmarkStart w:id="1049" w:name="Tc_4QUn9Ht-LUiyK8QF_KF0nw_9_3"/>
      <w:bookmarkStart w:id="1050" w:name="Tc_1_2DZ1mRfUG9Ke1B1L3aYg_9_0"/>
      <w:bookmarkStart w:id="1051" w:name="Tc_PVL-IouN_EG1aizufghtbA_8_5"/>
      <w:bookmarkStart w:id="1052" w:name="Tc_F19i2-M7UUGfORu1Kn2I0g_8_2"/>
      <w:bookmarkStart w:id="1053" w:name="Tc_-OxgzA6_0EGDEHGIk5wRww_8_0"/>
      <w:bookmarkStart w:id="1054" w:name="Tc_S7PqfkxUJUWIqlm0Q6PkKw_7_5"/>
      <w:bookmarkStart w:id="1055" w:name="Tc_3C-uLWb92kKKAeGnjnrHGw_7_2"/>
      <w:bookmarkStart w:id="1056" w:name="Tc_f1EZbzhhbEC-jmpuYe31Ew_7_0"/>
      <w:bookmarkStart w:id="1057" w:name="Tc_1kuhCCgBv0mJuANJt02eLQ_6_0"/>
      <w:bookmarkStart w:id="1058" w:name="Tc_7AVp7aIPzE24p-sfC1CV-g_5_0"/>
      <w:bookmarkStart w:id="1059" w:name="Tc_vT9Y4KCzjEObCv-jGuKxvA_4_0"/>
      <w:bookmarkStart w:id="1060" w:name="Tc_7502v7o-i0KajlvHBmWQXQ_3_5"/>
      <w:bookmarkStart w:id="1061" w:name="Tc_v792dYVxIUynzQWk5xEcPg_3_2"/>
      <w:bookmarkStart w:id="1062" w:name="Tc_J2Txmw5sS0K6s0cHfzDtRg_2_5"/>
      <w:bookmarkStart w:id="1063" w:name="Tc_wtMCTpY-p0q7GXzdoqCTCg_2_2"/>
      <w:bookmarkStart w:id="1064" w:name="Tc_35jRewtBek6s3blXIn2oWA_1_5"/>
      <w:bookmarkStart w:id="1065" w:name="Tc_GgVgglbZoU6DdboK2sqL2w_1_2"/>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sz w:val="20"/>
        </w:rPr>
        <w:t xml:space="preserve">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$55,000,000; and (vii) certain events of bankruptcy, insolvency and reorganization involving the Company or any of its significant subsidiaries.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rate per annum equal to 0.25% of the principal amount of the Notes for the first 180 days on which special interest accrues and, thereafter, at a rate per annum equal to 0.50% of the principal amount thereof.</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and the current period interest rates were as follows:</w:t>
      </w:r>
    </w:p>
    <w:p>
      <w:pPr>
        <w:pStyle w:val="TextBody"/>
        <w:bidi w:val="0"/>
        <w:spacing w:before="0" w:after="0"/>
        <w:ind w:left="0" w:right="0" w:hanging="0"/>
        <w:jc w:val="left"/>
        <w:rPr/>
      </w:pPr>
      <w:r>
        <w:rPr/>
        <w:t>​</w:t>
      </w:r>
    </w:p>
    <w:tbl>
      <w:tblPr>
        <w:tblW w:w="9306" w:type="dxa"/>
        <w:jc w:val="left"/>
        <w:tblInd w:w="0" w:type="dxa"/>
        <w:tblLayout w:type="fixed"/>
        <w:tblCellMar>
          <w:top w:w="0" w:type="dxa"/>
          <w:left w:w="0" w:type="dxa"/>
          <w:bottom w:w="0" w:type="dxa"/>
          <w:right w:w="0" w:type="dxa"/>
        </w:tblCellMar>
      </w:tblPr>
      <w:tblGrid>
        <w:gridCol w:w="6526"/>
        <w:gridCol w:w="109"/>
        <w:gridCol w:w="241"/>
        <w:gridCol w:w="899"/>
        <w:gridCol w:w="346"/>
        <w:gridCol w:w="241"/>
        <w:gridCol w:w="944"/>
      </w:tblGrid>
      <w:tr>
        <w:trPr/>
        <w:tc>
          <w:tcPr>
            <w:tcW w:w="6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144010" cy="175260"/>
                      <wp:effectExtent l="0" t="0" r="0" b="0"/>
                      <wp:wrapNone/>
                      <wp:docPr id="201" name="Frame201"/>
                      <a:graphic xmlns:a="http://schemas.openxmlformats.org/drawingml/2006/main">
                        <a:graphicData uri="http://schemas.microsoft.com/office/word/2010/wordprocessingShape">
                          <wps:wsp>
                            <wps:cNvSpPr txBox="1"/>
                            <wps:spPr>
                              <a:xfrm>
                                <a:off x="0" y="0"/>
                                <a:ext cx="414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9215" cy="175260"/>
                      <wp:effectExtent l="0" t="0" r="0" b="0"/>
                      <wp:wrapNone/>
                      <wp:docPr id="202" name="Frame2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3035" cy="175260"/>
                      <wp:effectExtent l="0" t="0" r="0" b="0"/>
                      <wp:wrapNone/>
                      <wp:docPr id="203" name="Frame203"/>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570865" cy="175260"/>
                      <wp:effectExtent l="0" t="0" r="0" b="0"/>
                      <wp:wrapNone/>
                      <wp:docPr id="204" name="Frame204"/>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205"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3035" cy="175260"/>
                      <wp:effectExtent l="0" t="0" r="0" b="0"/>
                      <wp:wrapNone/>
                      <wp:docPr id="206" name="Frame20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99440" cy="175260"/>
                      <wp:effectExtent l="0" t="0" r="0" b="0"/>
                      <wp:wrapNone/>
                      <wp:docPr id="207" name="Frame207"/>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65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costs–convertible notes</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17,443</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18,533</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unamortized debt issuance costs–convertible notes</w:t>
            </w:r>
          </w:p>
        </w:tc>
        <w:tc>
          <w:tcPr>
            <w:tcW w:w="109"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730,057</w:t>
            </w:r>
          </w:p>
        </w:tc>
        <w:tc>
          <w:tcPr>
            <w:tcW w:w="346" w:type="dxa"/>
            <w:tcBorders/>
            <w:vAlign w:val="center"/>
          </w:tcPr>
          <w:p>
            <w:pPr>
              <w:pStyle w:val="TableContents"/>
              <w:bidi w:val="0"/>
              <w:spacing w:before="0" w:after="0"/>
              <w:ind w:left="0" w:right="0" w:hanging="0"/>
              <w:jc w:val="left"/>
              <w:rPr/>
            </w:pPr>
            <w:r>
              <w:rPr/>
              <w:t>​</w:t>
            </w:r>
          </w:p>
        </w:tc>
        <w:tc>
          <w:tcPr>
            <w:tcW w:w="24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728,967</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costs–revolving credit facility</w:t>
            </w:r>
          </w:p>
        </w:tc>
        <w:tc>
          <w:tcPr>
            <w:tcW w:w="109"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w:t>
            </w:r>
          </w:p>
        </w:tc>
        <w:tc>
          <w:tcPr>
            <w:tcW w:w="34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1,745</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interest rate</w:t>
            </w:r>
          </w:p>
        </w:tc>
        <w:tc>
          <w:tcPr>
            <w:tcW w:w="109"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72"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contractual long-term debt principal payments as of August 1, 2026 were as follows:</w:t>
      </w:r>
    </w:p>
    <w:p>
      <w:pPr>
        <w:pStyle w:val="TextBody"/>
        <w:bidi w:val="0"/>
        <w:spacing w:before="0" w:after="0"/>
        <w:ind w:left="0" w:right="0" w:hanging="0"/>
        <w:jc w:val="left"/>
        <w:rPr/>
      </w:pPr>
      <w:r>
        <w:rPr/>
        <w:t>​</w:t>
      </w:r>
    </w:p>
    <w:tbl>
      <w:tblPr>
        <w:tblW w:w="2390" w:type="dxa"/>
        <w:jc w:val="left"/>
        <w:tblInd w:w="0" w:type="dxa"/>
        <w:tblLayout w:type="fixed"/>
        <w:tblCellMar>
          <w:top w:w="0" w:type="dxa"/>
          <w:left w:w="0" w:type="dxa"/>
          <w:bottom w:w="0" w:type="dxa"/>
          <w:right w:w="0" w:type="dxa"/>
        </w:tblCellMar>
      </w:tblPr>
      <w:tblGrid>
        <w:gridCol w:w="1096"/>
        <w:gridCol w:w="109"/>
        <w:gridCol w:w="225"/>
        <w:gridCol w:w="960"/>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95960" cy="175260"/>
                      <wp:effectExtent l="0" t="0" r="0" b="0"/>
                      <wp:wrapNone/>
                      <wp:docPr id="208" name="Frame20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215" cy="175260"/>
                      <wp:effectExtent l="0" t="0" r="0" b="0"/>
                      <wp:wrapNone/>
                      <wp:docPr id="209" name="Frame2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42875" cy="175260"/>
                      <wp:effectExtent l="0" t="0" r="0" b="0"/>
                      <wp:wrapNone/>
                      <wp:docPr id="210" name="Frame210"/>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09600" cy="175260"/>
                      <wp:effectExtent l="0" t="0" r="0" b="0"/>
                      <wp:wrapNone/>
                      <wp:docPr id="211" name="Frame211"/>
                      <a:graphic xmlns:a="http://schemas.openxmlformats.org/drawingml/2006/main">
                        <a:graphicData uri="http://schemas.microsoft.com/office/word/2010/wordprocessingShape">
                          <wps:wsp>
                            <wps:cNvSpPr txBox="1"/>
                            <wps:spPr>
                              <a:xfrm>
                                <a:off x="0" y="0"/>
                                <a:ext cx="609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60" w:type="dxa"/>
            <w:tcBorders/>
            <w:shd w:fill="CCEEFF" w:val="clear"/>
            <w:vAlign w:val="center"/>
          </w:tcPr>
          <w:p>
            <w:pPr>
              <w:pStyle w:val="TableContents"/>
              <w:bidi w:val="0"/>
              <w:spacing w:before="0" w:after="0"/>
              <w:ind w:left="0" w:right="0" w:hanging="0"/>
              <w:jc w:val="right"/>
              <w:rPr/>
            </w:pPr>
            <w:r>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60" w:type="dxa"/>
            <w:tcBorders/>
            <w:vAlign w:val="center"/>
          </w:tcPr>
          <w:p>
            <w:pPr>
              <w:pStyle w:val="TableContents"/>
              <w:bidi w:val="0"/>
              <w:spacing w:before="0" w:after="0"/>
              <w:ind w:left="0" w:right="0" w:hanging="0"/>
              <w:jc w:val="right"/>
              <w:rPr/>
            </w:pPr>
            <w:r>
              <w:rPr/>
              <w:t>—</w:t>
            </w:r>
          </w:p>
        </w:tc>
      </w:tr>
      <w:tr>
        <w:trPr/>
        <w:tc>
          <w:tcPr>
            <w:tcW w:w="1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747,500</w:t>
            </w:r>
          </w:p>
        </w:tc>
      </w:tr>
      <w:tr>
        <w:trPr/>
        <w:tc>
          <w:tcPr>
            <w:tcW w:w="1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747,500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66" w:name="Tc_EYZbs5QLpkKHlqO_Q4OcJQ_10_2"/>
      <w:bookmarkStart w:id="1067" w:name="Tc_-y554B2JG02PAVYF8QnGJA_10_0"/>
      <w:bookmarkStart w:id="1068" w:name="Tc_WD5b9AIr_ESh0chdJUBrnA_9_0"/>
      <w:bookmarkStart w:id="1069" w:name="Tc_Ql9BmRcXkU6Cgb4MEopkKA_8_2"/>
      <w:bookmarkStart w:id="1070" w:name="Tc_m5K78bcPfEKI-I38us42yA_8_0"/>
      <w:bookmarkStart w:id="1071" w:name="Tc_ClCPxhwO6UKCkWjMIwsK5Q_7_0"/>
      <w:bookmarkStart w:id="1072" w:name="Tc_2rCpVE9YrEqmATNVriPPoQ_6_0"/>
      <w:bookmarkStart w:id="1073" w:name="Tc_93XzkcJsmUqaILFyCQmThw_5_0"/>
      <w:bookmarkStart w:id="1074" w:name="Tc_wd6xvdxiiUqC7JiGn8WnZA_4_0"/>
      <w:bookmarkStart w:id="1075" w:name="Tc_MnT0kWItlkifuxm7V4GUXg_3_0"/>
      <w:bookmarkStart w:id="1076" w:name="Tc_b1WZqI_5tUyMHnA4IOfK0g_2_2"/>
      <w:bookmarkStart w:id="1077" w:name="Tc_yYu_zJn6vUycHK0i1yCoKQ_2_0"/>
      <w:bookmarkStart w:id="1078" w:name="Tc_x-FyMJWnnUuHb7IlWhPKjg_1_0"/>
      <w:bookmarkStart w:id="1079" w:name="_ca1cc16a_7d4a_4727_bb0e_b58eb9d9184d"/>
      <w:bookmarkStart w:id="1080" w:name="Tc_nvGTSKt3OkSzucngp0Pfhg_9_0"/>
      <w:bookmarkStart w:id="1081" w:name="Tc__bJm4FAmf0SsUrBafufJJA_8_0"/>
      <w:bookmarkStart w:id="1082" w:name="Tc_a_yZpawSREeTjMpEDLSk0A_6_5"/>
      <w:bookmarkStart w:id="1083" w:name="Tc_DZQJ3lGe5kugaZzvYWowsA_6_2"/>
      <w:bookmarkStart w:id="1084" w:name="Tc_y2gqnisIAkqUvLFoBpPaUw_6_0"/>
      <w:bookmarkStart w:id="1085" w:name="Tc__fVhUOXud0GjAo5jwSq7ig_5_5"/>
      <w:bookmarkStart w:id="1086" w:name="Tc_Pv5CKA_5REu8KT-6mcXyyg_5_2"/>
      <w:bookmarkStart w:id="1087" w:name="Tc_72rHXl1Rm0WQ5MBCytbkvg_5_0"/>
      <w:bookmarkStart w:id="1088" w:name="Tc_3kJmwXXoWEOuSyN8h5BESQ_4_5"/>
      <w:bookmarkStart w:id="1089" w:name="Tc_NbLOFCJDak6a3g_fh-qIAA_4_2"/>
      <w:bookmarkStart w:id="1090" w:name="Tc_-uOsb_F-zUKI_DjTPFnjhQ_3_5"/>
      <w:bookmarkStart w:id="1091" w:name="Tc_g-wdcDt5KE-hw9qdkl_zRQ_3_2"/>
      <w:bookmarkStart w:id="1092" w:name="Tc_EiNrtsKo2kaHujDm-dGRpQ_2_5"/>
      <w:bookmarkStart w:id="1093" w:name="Tc_KH_MOkrp5E6TwQJPEcQnLw_2_2"/>
      <w:bookmarkStart w:id="1094" w:name="Tc_I7n8DBP91EWS3bFmt2688w_1_5"/>
      <w:bookmarkStart w:id="1095" w:name="Tc_FneIyuk3HEOWftM6rIXWYA_1_2"/>
      <w:bookmarkStart w:id="1096" w:name="_6b6e2186_b024_4550_8731_4c353310f158"/>
      <w:bookmarkStart w:id="1097" w:name="Tc_OrV3f4NOU0CxLnkcaHTSPw_8_5"/>
      <w:bookmarkStart w:id="1098" w:name="Tc_LkFXFhHQPEuhRY8zi0PA-w_8_2"/>
      <w:bookmarkStart w:id="1099" w:name="Tc_cUd5Ne3ofE-c5zdJ7hlmYA_8_0"/>
      <w:bookmarkStart w:id="1100" w:name="Tc_BxHk_pHbV0eCmVbwXnIWkw_7_6"/>
      <w:bookmarkStart w:id="1101" w:name="Tc_BrmefRS7zkyq1WNGqEVmYQ_7_3"/>
      <w:bookmarkStart w:id="1102" w:name="Tc_PpqO4H34TkSlD2EUbfyMnw_7_0"/>
      <w:bookmarkStart w:id="1103" w:name="Tc_7r-0Pis2QUieE2ar4cCy4w_6_0"/>
      <w:bookmarkStart w:id="1104" w:name="Tc_nmvTNkq_Q0udbWTDkZ9Zfw_5_0"/>
      <w:bookmarkStart w:id="1105" w:name="Tc_QGJg73qlqEihteUudD-5FA_4_5"/>
      <w:bookmarkStart w:id="1106" w:name="Tc_P2a57QNXbUSHzDD9k0Ty-w_4_2"/>
      <w:bookmarkStart w:id="1107" w:name="Tc_orDuzEwZskyo6CYQpmsBvQ_4_0"/>
      <w:bookmarkStart w:id="1108" w:name="Tc_Ckz7PhtLFEiOKpjhu0eYjA_3_5"/>
      <w:bookmarkStart w:id="1109" w:name="Tc_bx2GQIbNN0Wb13MWN2W0xw_3_2"/>
      <w:bookmarkStart w:id="1110" w:name="Tc_s-bNiFYgD0apc9va1F3tXQ_2_5"/>
      <w:bookmarkStart w:id="1111" w:name="Tc_3AJPaVC-UE-mJIcHWw6G5g_2_2"/>
      <w:bookmarkStart w:id="1112" w:name="Tc_GxL7EX3T_0SLfXLOjENsfA_1_5"/>
      <w:bookmarkStart w:id="1113" w:name="Tc_XE_32pRSok61TCQMA_K5OA_1_2"/>
      <w:bookmarkStart w:id="1114" w:name="_43ef91a9_54f0_44e4_a2cf_6caa92d380ab"/>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rFonts w:ascii="Times New Roman;Times;serif" w:hAnsi="Times New Roman;Times;serif"/>
          <w:b/>
          <w:sz w:val="20"/>
        </w:rPr>
        <w:t>10. Leases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components of lease costs recorded in cost of sales and selling, general and administrative (“SG&amp;A”) expense were as follows (in thousands):</w:t>
      </w:r>
    </w:p>
    <w:tbl>
      <w:tblPr>
        <w:tblW w:w="5601" w:type="dxa"/>
        <w:jc w:val="left"/>
        <w:tblInd w:w="0" w:type="dxa"/>
        <w:tblLayout w:type="fixed"/>
        <w:tblCellMar>
          <w:top w:w="0" w:type="dxa"/>
          <w:left w:w="0" w:type="dxa"/>
          <w:bottom w:w="0" w:type="dxa"/>
          <w:right w:w="0" w:type="dxa"/>
        </w:tblCellMar>
      </w:tblPr>
      <w:tblGrid>
        <w:gridCol w:w="1801"/>
        <w:gridCol w:w="346"/>
        <w:gridCol w:w="445"/>
        <w:gridCol w:w="1205"/>
        <w:gridCol w:w="109"/>
        <w:gridCol w:w="398"/>
        <w:gridCol w:w="1297"/>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143635" cy="175260"/>
                      <wp:effectExtent l="0" t="0" r="0" b="0"/>
                      <wp:wrapNone/>
                      <wp:docPr id="212" name="Frame212"/>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19710" cy="175260"/>
                      <wp:effectExtent l="0" t="0" r="0" b="0"/>
                      <wp:wrapNone/>
                      <wp:docPr id="213"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82575" cy="175260"/>
                      <wp:effectExtent l="0" t="0" r="0" b="0"/>
                      <wp:wrapNone/>
                      <wp:docPr id="214" name="Frame214"/>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65175" cy="175260"/>
                      <wp:effectExtent l="0" t="0" r="0" b="0"/>
                      <wp:wrapNone/>
                      <wp:docPr id="215" name="Frame215"/>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52730" cy="175260"/>
                      <wp:effectExtent l="0" t="0" r="0" b="0"/>
                      <wp:wrapNone/>
                      <wp:docPr id="217" name="Frame217"/>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823595" cy="175260"/>
                      <wp:effectExtent l="0" t="0" r="0" b="0"/>
                      <wp:wrapNone/>
                      <wp:docPr id="218" name="Frame218"/>
                      <a:graphic xmlns:a="http://schemas.openxmlformats.org/drawingml/2006/main">
                        <a:graphicData uri="http://schemas.microsoft.com/office/word/2010/wordprocessingShape">
                          <wps:wsp>
                            <wps:cNvSpPr txBox="1"/>
                            <wps:spPr>
                              <a:xfrm>
                                <a:off x="0" y="0"/>
                                <a:ext cx="823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18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7,664</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6,850</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cost</w:t>
            </w:r>
          </w:p>
        </w:tc>
        <w:tc>
          <w:tcPr>
            <w:tcW w:w="34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pPr>
            <w:r>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109"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2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12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4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 net</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9,016</w:t>
            </w:r>
          </w:p>
        </w:tc>
        <w:tc>
          <w:tcPr>
            <w:tcW w:w="109"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8,742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lease information was as follows:</w:t>
      </w:r>
    </w:p>
    <w:tbl>
      <w:tblPr>
        <w:tblW w:w="10205" w:type="dxa"/>
        <w:jc w:val="left"/>
        <w:tblInd w:w="0" w:type="dxa"/>
        <w:tblLayout w:type="fixed"/>
        <w:tblCellMar>
          <w:top w:w="0" w:type="dxa"/>
          <w:left w:w="0" w:type="dxa"/>
          <w:bottom w:w="0" w:type="dxa"/>
          <w:right w:w="0" w:type="dxa"/>
        </w:tblCellMar>
      </w:tblPr>
      <w:tblGrid>
        <w:gridCol w:w="6444"/>
        <w:gridCol w:w="346"/>
        <w:gridCol w:w="297"/>
        <w:gridCol w:w="1333"/>
        <w:gridCol w:w="109"/>
        <w:gridCol w:w="294"/>
        <w:gridCol w:w="1382"/>
      </w:tblGrid>
      <w:tr>
        <w:trPr/>
        <w:tc>
          <w:tcPr>
            <w:tcW w:w="64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091940" cy="175260"/>
                      <wp:effectExtent l="0" t="0" r="0" b="0"/>
                      <wp:wrapNone/>
                      <wp:docPr id="219" name="Frame219"/>
                      <a:graphic xmlns:a="http://schemas.openxmlformats.org/drawingml/2006/main">
                        <a:graphicData uri="http://schemas.microsoft.com/office/word/2010/wordprocessingShape">
                          <wps:wsp>
                            <wps:cNvSpPr txBox="1"/>
                            <wps:spPr>
                              <a:xfrm>
                                <a:off x="0" y="0"/>
                                <a:ext cx="4091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88595" cy="175260"/>
                      <wp:effectExtent l="0" t="0" r="0" b="0"/>
                      <wp:wrapNone/>
                      <wp:docPr id="221" name="Frame221"/>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846455" cy="175260"/>
                      <wp:effectExtent l="0" t="0" r="0" b="0"/>
                      <wp:wrapNone/>
                      <wp:docPr id="222" name="Frame222"/>
                      <a:graphic xmlns:a="http://schemas.openxmlformats.org/drawingml/2006/main">
                        <a:graphicData uri="http://schemas.microsoft.com/office/word/2010/wordprocessingShape">
                          <wps:wsp>
                            <wps:cNvSpPr txBox="1"/>
                            <wps:spPr>
                              <a:xfrm>
                                <a:off x="0" y="0"/>
                                <a:ext cx="846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86690" cy="175260"/>
                      <wp:effectExtent l="0" t="0" r="0" b="0"/>
                      <wp:wrapNone/>
                      <wp:docPr id="224" name="Frame22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877570" cy="175260"/>
                      <wp:effectExtent l="0" t="0" r="0" b="0"/>
                      <wp:wrapNone/>
                      <wp:docPr id="225" name="Frame225"/>
                      <a:graphic xmlns:a="http://schemas.openxmlformats.org/drawingml/2006/main">
                        <a:graphicData uri="http://schemas.microsoft.com/office/word/2010/wordprocessingShape">
                          <wps:wsp>
                            <wps:cNvSpPr txBox="1"/>
                            <wps:spPr>
                              <a:xfrm>
                                <a:off x="0" y="0"/>
                                <a:ext cx="877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6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left"/>
              <w:rPr/>
            </w:pPr>
            <w:r>
              <w:rPr/>
              <w:t>​</w:t>
            </w:r>
          </w:p>
        </w:tc>
        <w:tc>
          <w:tcPr>
            <w:tcW w:w="16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6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4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6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6,010</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w:t>
            </w:r>
          </w:p>
        </w:tc>
      </w:tr>
      <w:tr>
        <w:trPr/>
        <w:tc>
          <w:tcPr>
            <w:tcW w:w="6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19,250</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2,326</w:t>
            </w:r>
          </w:p>
        </w:tc>
      </w:tr>
      <w:tr>
        <w:trPr/>
        <w:tc>
          <w:tcPr>
            <w:tcW w:w="644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1382" w:type="dxa"/>
            <w:tcBorders/>
            <w:shd w:fill="CCEEFF" w:val="clear"/>
            <w:vAlign w:val="center"/>
          </w:tcPr>
          <w:p>
            <w:pPr>
              <w:pStyle w:val="TableContents"/>
              <w:bidi w:val="0"/>
              <w:spacing w:before="0" w:after="0"/>
              <w:ind w:left="0" w:right="0" w:hanging="0"/>
              <w:jc w:val="left"/>
              <w:rPr/>
            </w:pPr>
            <w:r>
              <w:rPr/>
              <w:t>​</w:t>
            </w:r>
          </w:p>
        </w:tc>
      </w:tr>
      <w:tr>
        <w:trPr/>
        <w:tc>
          <w:tcPr>
            <w:tcW w:w="64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4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3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 months</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13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 months</w:t>
            </w:r>
          </w:p>
        </w:tc>
      </w:tr>
      <w:tr>
        <w:trPr/>
        <w:tc>
          <w:tcPr>
            <w:tcW w:w="64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4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1382"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as of August 1, 2026 were as follows (in thousands):</w:t>
      </w:r>
    </w:p>
    <w:p>
      <w:pPr>
        <w:pStyle w:val="TextBody"/>
        <w:bidi w:val="0"/>
        <w:spacing w:before="0" w:after="0"/>
        <w:ind w:left="0" w:right="0" w:hanging="0"/>
        <w:jc w:val="left"/>
        <w:rPr/>
      </w:pPr>
      <w:r>
        <w:rPr/>
        <w:t>​</w:t>
      </w:r>
    </w:p>
    <w:tbl>
      <w:tblPr>
        <w:tblW w:w="5209" w:type="dxa"/>
        <w:jc w:val="left"/>
        <w:tblInd w:w="0" w:type="dxa"/>
        <w:tblLayout w:type="fixed"/>
        <w:tblCellMar>
          <w:top w:w="0" w:type="dxa"/>
          <w:left w:w="0" w:type="dxa"/>
          <w:bottom w:w="0" w:type="dxa"/>
          <w:right w:w="0" w:type="dxa"/>
        </w:tblCellMar>
      </w:tblPr>
      <w:tblGrid>
        <w:gridCol w:w="3991"/>
        <w:gridCol w:w="109"/>
        <w:gridCol w:w="211"/>
        <w:gridCol w:w="898"/>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34285" cy="175260"/>
                      <wp:effectExtent l="0" t="0" r="0" b="0"/>
                      <wp:wrapNone/>
                      <wp:docPr id="226" name="Frame226"/>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70230" cy="175260"/>
                      <wp:effectExtent l="0" t="0" r="0" b="0"/>
                      <wp:wrapNone/>
                      <wp:docPr id="229" name="Frame22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28,764</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26,041</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22,564</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15,143</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48,542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160,099</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(39,333)</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present value of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120,766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115" w:name="Tc_S9lUVILfDU6a2OqOgmzGgg_7_5"/>
      <w:bookmarkStart w:id="1116" w:name="Tc_2vWPvNS-_0mEnQj44UGK3g_7_2"/>
      <w:bookmarkStart w:id="1117" w:name="Tc_nEnj3IsrB0eeQ_0HiJOdmA_7_0"/>
      <w:bookmarkStart w:id="1118" w:name="Tc_cv1zScFXHUmcWwXazlDAtQ_6_0"/>
      <w:bookmarkStart w:id="1119" w:name="Tc_s2sHC9AQFkqT0cL0_w8tqg_5_6"/>
      <w:bookmarkStart w:id="1120" w:name="Tc_A1tfTcbzNUG3Zu8AdUq64Q_5_0"/>
      <w:bookmarkStart w:id="1121" w:name="Tc_eTtvfEiVJkG0uCgj6h3Khg_4_5"/>
      <w:bookmarkStart w:id="1122" w:name="Tc_NWeQgqwE30ymv1rh471FRA_4_2"/>
      <w:bookmarkStart w:id="1123" w:name="Tc_krXJK_69sUKKnO5JXY279g_4_0"/>
      <w:bookmarkStart w:id="1124" w:name="Tc_aXZ43-5oQE2W4Dcl2_5RfQ_3_5"/>
      <w:bookmarkStart w:id="1125" w:name="Tc_7s6ZhaEhbEeTWYgEc2ctJw_3_2"/>
      <w:bookmarkStart w:id="1126" w:name="Tc_4HvlZrFlA0qkW60ueeJHMQ_2_5"/>
      <w:bookmarkStart w:id="1127" w:name="Tc_z3uux8eLx0iNoZem677oCg_2_2"/>
      <w:bookmarkStart w:id="1128" w:name="Tc_UYyKf8B1Z06WAs1efAkZNg_1_5"/>
      <w:bookmarkStart w:id="1129" w:name="Tc_8Y1vzT3a0Uu3fw2AJIIvcA_1_2"/>
      <w:bookmarkStart w:id="1130" w:name="_d3502e67_1bf0_4e77_9501_ad57dd030cc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b/>
          <w:sz w:val="20"/>
        </w:rPr>
        <w:t>11. Accumulated Other Comprehensive Loss and Reclassifications Adjustments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accumulated other comprehensive loss and adjustments are as follows (in thousands):</w:t>
      </w:r>
    </w:p>
    <w:p>
      <w:pPr>
        <w:pStyle w:val="TextBody"/>
        <w:bidi w:val="0"/>
        <w:spacing w:before="0" w:after="0"/>
        <w:ind w:left="0" w:right="0" w:hanging="0"/>
        <w:jc w:val="left"/>
        <w:rPr/>
      </w:pPr>
      <w:r>
        <w:rPr/>
        <w:t>​</w:t>
      </w:r>
    </w:p>
    <w:tbl>
      <w:tblPr>
        <w:tblW w:w="8769" w:type="dxa"/>
        <w:jc w:val="left"/>
        <w:tblInd w:w="0" w:type="dxa"/>
        <w:tblLayout w:type="fixed"/>
        <w:tblCellMar>
          <w:top w:w="0" w:type="dxa"/>
          <w:left w:w="0" w:type="dxa"/>
          <w:bottom w:w="0" w:type="dxa"/>
          <w:right w:w="0" w:type="dxa"/>
        </w:tblCellMar>
      </w:tblPr>
      <w:tblGrid>
        <w:gridCol w:w="5206"/>
        <w:gridCol w:w="109"/>
        <w:gridCol w:w="386"/>
        <w:gridCol w:w="1264"/>
        <w:gridCol w:w="109"/>
        <w:gridCol w:w="377"/>
        <w:gridCol w:w="1318"/>
      </w:tblGrid>
      <w:tr>
        <w:trPr/>
        <w:tc>
          <w:tcPr>
            <w:tcW w:w="5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305810" cy="175260"/>
                      <wp:effectExtent l="0" t="0" r="0" b="0"/>
                      <wp:wrapNone/>
                      <wp:docPr id="230" name="Frame230"/>
                      <a:graphic xmlns:a="http://schemas.openxmlformats.org/drawingml/2006/main">
                        <a:graphicData uri="http://schemas.microsoft.com/office/word/2010/wordprocessingShape">
                          <wps:wsp>
                            <wps:cNvSpPr txBox="1"/>
                            <wps:spPr>
                              <a:xfrm>
                                <a:off x="0" y="0"/>
                                <a:ext cx="330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9215" cy="175260"/>
                      <wp:effectExtent l="0" t="0" r="0" b="0"/>
                      <wp:wrapNone/>
                      <wp:docPr id="231" name="Frame2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45110" cy="175260"/>
                      <wp:effectExtent l="0" t="0" r="0" b="0"/>
                      <wp:wrapNone/>
                      <wp:docPr id="232" name="Frame23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02640" cy="175260"/>
                      <wp:effectExtent l="0" t="0" r="0" b="0"/>
                      <wp:wrapNone/>
                      <wp:docPr id="233" name="Frame233"/>
                      <a:graphic xmlns:a="http://schemas.openxmlformats.org/drawingml/2006/main">
                        <a:graphicData uri="http://schemas.microsoft.com/office/word/2010/wordprocessingShape">
                          <wps:wsp>
                            <wps:cNvSpPr txBox="1"/>
                            <wps:spPr>
                              <a:xfrm>
                                <a:off x="0" y="0"/>
                                <a:ext cx="802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39395" cy="175260"/>
                      <wp:effectExtent l="0" t="0" r="0" b="0"/>
                      <wp:wrapNone/>
                      <wp:docPr id="235" name="Frame235"/>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36930" cy="175260"/>
                      <wp:effectExtent l="0" t="0" r="0" b="0"/>
                      <wp:wrapNone/>
                      <wp:docPr id="236" name="Frame236"/>
                      <a:graphic xmlns:a="http://schemas.openxmlformats.org/drawingml/2006/main">
                        <a:graphicData uri="http://schemas.microsoft.com/office/word/2010/wordprocessingShape">
                          <wps:wsp>
                            <wps:cNvSpPr txBox="1"/>
                            <wps:spPr>
                              <a:xfrm>
                                <a:off x="0" y="0"/>
                                <a:ext cx="836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center"/>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52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April 30, 2026 and April 30, 2025, respectively</w:t>
            </w:r>
          </w:p>
        </w:tc>
        <w:tc>
          <w:tcPr>
            <w:tcW w:w="109" w:type="dxa"/>
            <w:tcBorders/>
            <w:shd w:fill="CCEEFF" w:val="clear"/>
            <w:vAlign w:val="center"/>
          </w:tcPr>
          <w:p>
            <w:pPr>
              <w:pStyle w:val="TableContents"/>
              <w:bidi w:val="0"/>
              <w:spacing w:before="0" w:after="0"/>
              <w:ind w:left="0" w:right="0" w:hanging="0"/>
              <w:jc w:val="righ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(5,635)</w:t>
            </w:r>
          </w:p>
        </w:tc>
        <w:tc>
          <w:tcPr>
            <w:tcW w:w="109" w:type="dxa"/>
            <w:tcBorders/>
            <w:shd w:fill="CCEEFF" w:val="clear"/>
            <w:vAlign w:val="center"/>
          </w:tcPr>
          <w:p>
            <w:pPr>
              <w:pStyle w:val="TableContents"/>
              <w:bidi w:val="0"/>
              <w:spacing w:before="0" w:after="0"/>
              <w:ind w:left="0" w:right="0" w:hanging="0"/>
              <w:jc w:val="right"/>
              <w:rPr/>
            </w:pPr>
            <w:r>
              <w:rPr/>
              <w:t>​</w:t>
            </w:r>
          </w:p>
        </w:tc>
        <w:tc>
          <w:tcPr>
            <w:tcW w:w="3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(6,514)</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available-for-sale security losses</w:t>
            </w:r>
          </w:p>
        </w:tc>
        <w:tc>
          <w:tcPr>
            <w:tcW w:w="109" w:type="dxa"/>
            <w:tcBorders/>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12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109" w:type="dxa"/>
            <w:tcBorders/>
            <w:vAlign w:val="center"/>
          </w:tcPr>
          <w:p>
            <w:pPr>
              <w:pStyle w:val="TableContents"/>
              <w:bidi w:val="0"/>
              <w:spacing w:before="0" w:after="0"/>
              <w:ind w:left="0" w:right="0" w:hanging="0"/>
              <w:jc w:val="right"/>
              <w:rPr/>
            </w:pPr>
            <w:r>
              <w:rPr/>
              <w:t>​</w:t>
            </w:r>
          </w:p>
        </w:tc>
        <w:tc>
          <w:tcPr>
            <w:tcW w:w="377" w:type="dxa"/>
            <w:tcBorders/>
            <w:vAlign w:val="center"/>
          </w:tcPr>
          <w:p>
            <w:pPr>
              <w:pStyle w:val="TableContents"/>
              <w:bidi w:val="0"/>
              <w:spacing w:before="0" w:after="0"/>
              <w:ind w:left="0" w:right="0" w:hanging="0"/>
              <w:jc w:val="left"/>
              <w:rPr/>
            </w:pPr>
            <w:r>
              <w:rPr/>
              <w:t>​</w:t>
            </w:r>
          </w:p>
        </w:tc>
        <w:tc>
          <w:tcPr>
            <w:tcW w:w="1318" w:type="dxa"/>
            <w:tcBorders/>
            <w:vAlign w:val="center"/>
          </w:tcPr>
          <w:p>
            <w:pPr>
              <w:pStyle w:val="TableContents"/>
              <w:bidi w:val="0"/>
              <w:spacing w:before="0" w:after="0"/>
              <w:ind w:left="0" w:right="0" w:hanging="0"/>
              <w:jc w:val="right"/>
              <w:rPr/>
            </w:pPr>
            <w:r>
              <w:rPr/>
              <w:t>—</w:t>
            </w:r>
          </w:p>
        </w:tc>
      </w:tr>
      <w:tr>
        <w:trPr/>
        <w:tc>
          <w:tcPr>
            <w:tcW w:w="5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adjustments</w:t>
            </w:r>
          </w:p>
        </w:tc>
        <w:tc>
          <w:tcPr>
            <w:tcW w:w="109" w:type="dxa"/>
            <w:tcBorders/>
            <w:shd w:fill="CCEEFF" w:val="clear"/>
            <w:vAlign w:val="center"/>
          </w:tcPr>
          <w:p>
            <w:pPr>
              <w:pStyle w:val="TableContents"/>
              <w:bidi w:val="0"/>
              <w:spacing w:before="0" w:after="0"/>
              <w:ind w:left="0" w:right="0" w:hanging="0"/>
              <w:jc w:val="righ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shd w:fill="CCEEFF" w:val="clear"/>
            <w:vAlign w:val="center"/>
          </w:tcPr>
          <w:p>
            <w:pPr>
              <w:pStyle w:val="TableContents"/>
              <w:bidi w:val="0"/>
              <w:spacing w:before="0" w:after="0"/>
              <w:ind w:left="0" w:right="0" w:hanging="0"/>
              <w:jc w:val="right"/>
              <w:rPr/>
            </w:pPr>
            <w:r>
              <w:rPr/>
              <w:t>​</w:t>
            </w:r>
          </w:p>
        </w:tc>
        <w:tc>
          <w:tcPr>
            <w:tcW w:w="3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5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as of August 1, 2026 and August 2, 2025, respectively</w:t>
            </w:r>
          </w:p>
        </w:tc>
        <w:tc>
          <w:tcPr>
            <w:tcW w:w="109" w:type="dxa"/>
            <w:tcBorders/>
            <w:vAlign w:val="center"/>
          </w:tcPr>
          <w:p>
            <w:pPr>
              <w:pStyle w:val="TableContents"/>
              <w:bidi w:val="0"/>
              <w:spacing w:before="0" w:after="0"/>
              <w:ind w:left="0" w:right="0" w:hanging="0"/>
              <w:jc w:val="righ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(5,753)</w:t>
            </w:r>
          </w:p>
        </w:tc>
        <w:tc>
          <w:tcPr>
            <w:tcW w:w="109" w:type="dxa"/>
            <w:tcBorders/>
            <w:vAlign w:val="center"/>
          </w:tcPr>
          <w:p>
            <w:pPr>
              <w:pStyle w:val="TableContents"/>
              <w:bidi w:val="0"/>
              <w:spacing w:before="0" w:after="0"/>
              <w:ind w:left="0" w:right="0" w:hanging="0"/>
              <w:jc w:val="right"/>
              <w:rPr/>
            </w:pPr>
            <w:r>
              <w:rPr/>
              <w:t>​</w:t>
            </w:r>
          </w:p>
        </w:tc>
        <w:tc>
          <w:tcPr>
            <w:tcW w:w="3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 Long-Term Incentive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August 1, 2026, the Company granted awards under its 2021 Equity Incentive Plan (the “2021 Plan”) to key employees (“Fiscal 2027 LTIP”). Awards under the Fiscal 2027 LTIP consist of: (i) time-based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awards and time-based restricted stock units, which vest in equal tranches in July 2027, July 2028 and July 2029, and (ii) performance-based restricted stock units (“PRSUs”), which vest based on the Company’s achievement of revenue and non-GAAP adjusted earnings before interest, taxes, depreciation and amortization (“adjusted EBITDA”) targets for the three-year period ending April 30, 2029.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 xml:space="preserve">the Company recorded $743,000 </w:t>
      </w:r>
      <w:r>
        <w:rPr>
          <w:rFonts w:ascii="Times New Roman;Times;serif" w:hAnsi="Times New Roman;Times;serif"/>
          <w:sz w:val="20"/>
          <w:shd w:fill="FFFFFF" w:val="clear"/>
        </w:rPr>
        <w:t>o</w:t>
      </w:r>
      <w:r>
        <w:rPr>
          <w:rFonts w:ascii="Times New Roman;Times;serif" w:hAnsi="Times New Roman;Times;serif"/>
          <w:sz w:val="20"/>
        </w:rPr>
        <w:t>f compensation expense related to the Fiscal 2027 LTIP, respectively. As of August 1, 2026, the maximum compensation expense that may be recorded for the performance-based portion of the Fiscal 2027 LTIP is $35,950,000.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August 2, 2025, the Company granted awards under its 2021 Plan to key employees (“Fiscal 2026 LTIP”). Awards under the Fiscal 2026 LTIP consist of: (i) time-based restricted stock awards and time-based restricted stock units, which vest in equal tranches in July 2026, July 2027 and July 2028, and (ii) PRSUs, which vest based on the Company’s achievement of revenue and non-GAAP adjusted EBITDA targets for the three-year period ending April 30, 2028.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August 1</w:t>
      </w:r>
      <w:r>
        <w:rPr>
          <w:rFonts w:ascii="Times New Roman;Times;serif" w:hAnsi="Times New Roman;Times;serif"/>
          <w:sz w:val="20"/>
          <w:shd w:fill="FFFFFF" w:val="clear"/>
        </w:rPr>
        <w:t>, 2026 and August 2, 2025</w:t>
      </w:r>
      <w:r>
        <w:rPr>
          <w:rFonts w:ascii="Times New Roman;Times;serif" w:hAnsi="Times New Roman;Times;serif"/>
          <w:sz w:val="20"/>
        </w:rPr>
        <w:t>, the Company recorded a $(687,000) reversal of compensation expense and $809,000 of compensation expense related to the Fiscal 2026 LTIP, respectively. As of August 1</w:t>
      </w:r>
      <w:r>
        <w:rPr>
          <w:rFonts w:ascii="Times New Roman;Times;serif" w:hAnsi="Times New Roman;Times;serif"/>
          <w:sz w:val="20"/>
          <w:shd w:fill="FFFFFF" w:val="clear"/>
        </w:rPr>
        <w:t>, 2026</w:t>
      </w:r>
      <w:r>
        <w:rPr>
          <w:rFonts w:ascii="Times New Roman;Times;serif" w:hAnsi="Times New Roman;Times;serif"/>
          <w:sz w:val="20"/>
        </w:rPr>
        <w:t>, the maximum compensation expense that may be recorded for the performance-based portion of the Fiscal 2026 LTIP is $27,471,000.</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July 27, 2024, the Company granted awards under its 2021 Plan to key employees (“Fiscal 2025 LTIP”). Awards under the Fiscal 2025 LTIP consist of: (i) time-based restricted stock awards and time-based restricted stock units, which vest in equal tranches in July 2025, July 2026 and July 2027, and (ii) PRSUs, which vest based on the Company’s achievement of revenue and non-GAAP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August 1</w:t>
      </w:r>
      <w:r>
        <w:rPr>
          <w:rFonts w:ascii="Times New Roman;Times;serif" w:hAnsi="Times New Roman;Times;serif"/>
          <w:sz w:val="20"/>
          <w:shd w:fill="FFFFFF" w:val="clear"/>
        </w:rPr>
        <w:t xml:space="preserve">, 2026 and August 2, </w:t>
      </w:r>
      <w:r>
        <w:rPr>
          <w:rFonts w:ascii="Times New Roman;Times;serif" w:hAnsi="Times New Roman;Times;serif"/>
          <w:sz w:val="20"/>
        </w:rPr>
        <w:t>2025, the Company recorded a $(146,000) reversal of compensation expense and $3,859,000 and of compensation expense related to the Fiscal 2025 LTIP. As of August 1</w:t>
      </w:r>
      <w:r>
        <w:rPr>
          <w:rFonts w:ascii="Times New Roman;Times;serif" w:hAnsi="Times New Roman;Times;serif"/>
          <w:sz w:val="20"/>
          <w:shd w:fill="FFFFFF" w:val="clear"/>
        </w:rPr>
        <w:t>, 2026</w:t>
      </w:r>
      <w:r>
        <w:rPr>
          <w:rFonts w:ascii="Times New Roman;Times;serif" w:hAnsi="Times New Roman;Times;serif"/>
          <w:sz w:val="20"/>
        </w:rPr>
        <w:t>, the maximum compensation expense that may be recorded for the performance-based portion of the Fiscal 2025 LTIP is $14,883,000.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July 29, 2023, the Company granted awards under the 2021 Plan to key employees (“Fiscal 2024 LTIP”). During the three months ended August 1</w:t>
      </w:r>
      <w:r>
        <w:rPr>
          <w:rFonts w:ascii="Times New Roman;Times;serif" w:hAnsi="Times New Roman;Times;serif"/>
          <w:sz w:val="20"/>
          <w:shd w:fill="FFFFFF" w:val="clear"/>
        </w:rPr>
        <w:t>, 2026</w:t>
      </w:r>
      <w:r>
        <w:rPr>
          <w:rFonts w:ascii="Times New Roman;Times;serif" w:hAnsi="Times New Roman;Times;serif"/>
          <w:sz w:val="20"/>
        </w:rPr>
        <w:t>, the Company issued a total of 84,142 fully-vested shares of the Company’s common stock to settle the PRSUs in the Fiscal 2024 LTIP. For the three ended August 1, 2026 the Company recorded no compensation expense related to the Fiscal 2024 LTIP. For the three months ended August 2, 2025, the Company recorded $3,008,000 of compensation expense related to the Fiscal 2024 LTIP.</w:t>
        <w:br/>
        <w:br/>
        <w:t xml:space="preserve">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those changes will be recorded in the period estimates are revised. No compensation cost is ultimately recognized for awards for which employees do not render the requisite service and are forfeited.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August 1, 2026, the Company recorded an income tax benefit of $(397,000) yielding an effective tax rate of 5.4%. For the three months ended August 2, 2025, the Company recorded an income tax benefit of $(15,169,000) yielding an effective tax rate of 18.0%. The variance from the statutory rates for the three months ended August 1, 2026, was primarily attributable to federal R&amp;D credits, Section 162(m) limitation on executive compensation, and state taxes. The variance from the statutory rates for the three months ended August 1, 2025, was primarily attributable to federal R&amp;D credits and acquisition related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4, 2025, the reconciliation bill, commonly known as the One Big Beautiful Bill Act (“OBBBA”), was enacted into law. The OBBBA, among other things, eliminates the requirement to capitalize U.S. R&amp;D expenses, permanently extends certain provisions of the Tax Cuts &amp; Jobs Act of 2017 and modifies certain international tax provisions, as part of a broader set of updates to the U.S. international tax rules. As the OBBBA was enacted during the Company’s fiscal quarter ended August 2, 2025, the Company reflected the impacts of the OBBBA on the condensed consolidated financial statements during such period. Cash tax payments for the fiscal year ending April 30, 2027 are expected to be significantly reduced as a result of the accelerated tax deductions. However, the Company’s total income tax expense and effective tax rate are not expected to materially change as a result of the legislation.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 Share Issuances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the Company entered into an underwriting agreement (the “Common Stock Underwriting Agreement”) with certain underwriters (the “Common Stock Underwriters”) agreeing, subject to customary conditions, to issue and sell 3,528,226 shares of the Company’s common stock to the Common Stock Underwriters (the “Common Stock Offering”). In addition, pursuant to the Common Stock Underwriting Agreement, the Company granted the Common Stock Underwriters an option, exercisable within 30 days after entering the Common Stock Underwriting Agreement, to purchase up to an additional 529,234 shares of the Company’s common stock (the “Over-allotment Option”). The issuance of 3,528,226 shares of common stock was completed in July 2025. Subsequently, the Company closed the issuance and sale of 529,234 shares of its common stock pursuant to the underwriters’ full exercise of the Over-allotment Option in July 2025 for a total issuance of 4,057,460 shares, generating gross proceeds to the Company of $1,006,250,000, proceeds of $968,515,000, net of underwriting discount and $966,846,000 net of underwriting discount and other equity issuance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 Business Acquisitions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ESAero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16, 2026, the Company closed its acquisition of ESAero, a leading producer of UAS and advanced air mobility platforms. Pursuant to the merger agreement, the Company acquired 100% of ESAero equity for an aggregate purchase price of $177,909,000, consisting of 671,078 shares of the Company’s common stock with a fair value of $142,188,000 and $26,922,000 cash-on-hand, net of $2,386,000 cash acquired, plus an $8,800,000 holdback for certain customary adjustments, such as net working capital, and certain seller indemnification obligations. During August 2026, $4,000,000 of the holdback was settled for $3,593,000 due to certain customary adjustments. The fair value of the shares issued was based on the closing price of the Company’s common stock on March 16, 2026 of $211.88. ESAero is incorporated into AeroVironment’s AxS segment. The Company believes the acquisition will enhance the Company’s ability to transition from innovative design to advanced manufacturing. The Company accounted for the acquisition under the acquisition method of accounting for business combinations.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summarizes the preliminary allocation of the fair value of the acquisition consideration transferred to assets acquired and liabilities assumed as of the acquisition date. The allocation of the purchase price is preliminary and subject to change as the Company continues to evaluate the fair values of certain assets and liabilities acquired. Open items in the purchase price allocation include the valuation of assets acquired and liabilities assumed including, but not limited to customer relationships, backlog developed technology, non-compete agreements, and tradename intangibles;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31" w:name="Tc_mE1gysus00OPwsB3_wAYQg_24_2"/>
      <w:bookmarkStart w:id="1132" w:name="Tc_cpf99BBrlUeuskMaQi_jlw_24_0"/>
      <w:bookmarkStart w:id="1133" w:name="Tc_HuP44Js5f0-ONn7MMJhe9A_23_0"/>
      <w:bookmarkStart w:id="1134" w:name="Tc_dQN0ZVcGs02WqX5Dr2W7cw_22_0"/>
      <w:bookmarkStart w:id="1135" w:name="Tc_C2zGpwKlxkqiq_FSVzUZJA_21_0"/>
      <w:bookmarkStart w:id="1136" w:name="Tc_tmkHC69IO0i-vRAUtQyDHw_20_0"/>
      <w:bookmarkStart w:id="1137" w:name="Tc_5zz2Ye50_Uer-hBXYQ8QIw_19_0"/>
      <w:bookmarkStart w:id="1138" w:name="Tc_WPu_FaMbp0aT2xsgWlRjIQ_18_0"/>
      <w:bookmarkStart w:id="1139" w:name="Tc_S3dQJi-9y0mz2sg8z7ENLw_17_0"/>
      <w:bookmarkStart w:id="1140" w:name="Tc_qTf73SndMUeBDvJJzhWAHQ_16_0"/>
      <w:bookmarkStart w:id="1141" w:name="Tc_rW6oW_IJYU2hDGP732FCTw_15_2"/>
      <w:bookmarkStart w:id="1142" w:name="Tc_pqS5ot8bkU-EmlSz_2_IIg_15_0"/>
      <w:bookmarkStart w:id="1143" w:name="Tc_OKydNjRHiUqu34thJxHNsA_14_0"/>
      <w:bookmarkStart w:id="1144" w:name="Tc_BzbD9x4vq0KjZPttbH9pfg_12_2"/>
      <w:bookmarkStart w:id="1145" w:name="Tc_bEfynJvV6EeWsre825EOOA_12_0"/>
      <w:bookmarkStart w:id="1146" w:name="Tc_sI5DIZ3bHUSDP3d9N67sng_11_0"/>
      <w:bookmarkStart w:id="1147" w:name="Tc_N1WAE0qs6kiSpTPxQ0qUrQ_10_0"/>
      <w:bookmarkStart w:id="1148" w:name="Tc_8UsUkbhlrUmUdvpXEApYMQ_9_0"/>
      <w:bookmarkStart w:id="1149" w:name="Tc_39peZsBEOkGp3qrbdQFIbQ_8_0"/>
      <w:bookmarkStart w:id="1150" w:name="Tc_gmQeCPHZVE2JyjhyRIgYEw_7_0"/>
      <w:bookmarkStart w:id="1151" w:name="Tc_FLHjMkPFvEeptnegOGgPVg_6_0"/>
      <w:bookmarkStart w:id="1152" w:name="Tc_6QHK6P8ViEuezrD4eq212Q_5_0"/>
      <w:bookmarkStart w:id="1153" w:name="Tc_Cb6qTFsDwUyzE5f0vQH5Ig_4_2"/>
      <w:bookmarkStart w:id="1154" w:name="Tc_s-pYEXChbUetM5AxdAfjOA_4_0"/>
      <w:bookmarkStart w:id="1155" w:name="Tc_nbajhwBLmkC24l2I8lcmRA_3_0"/>
      <w:bookmarkStart w:id="1156" w:name="Tc_6F8lU1QRyE6r0Xh9qI3xgA_2_2"/>
      <w:bookmarkStart w:id="1157" w:name="Tc_M9qkgakgjkqP5vM5D-UGQA_1_2"/>
      <w:bookmarkStart w:id="1158" w:name="_64e496d7_d2f4_40b9_9898_bbff7e8ffac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r>
        <w:rPr>
          <w:rFonts w:ascii="Times New Roman;Times;serif" w:hAnsi="Times New Roman;Times;serif"/>
          <w:sz w:val="20"/>
        </w:rPr>
        <w:t>leases; details surrounding tax matters; and assumptions underlying certain existing or potential reserves, such as those for inventory and legal matters (in thousands):</w:t>
      </w:r>
    </w:p>
    <w:p>
      <w:pPr>
        <w:pStyle w:val="TextBody"/>
        <w:bidi w:val="0"/>
        <w:spacing w:before="0" w:after="0"/>
        <w:ind w:left="0" w:right="0" w:hanging="0"/>
        <w:jc w:val="left"/>
        <w:rPr/>
      </w:pPr>
      <w:r>
        <w:rPr/>
        <w:t>​</w:t>
      </w:r>
    </w:p>
    <w:tbl>
      <w:tblPr>
        <w:tblW w:w="4706" w:type="dxa"/>
        <w:jc w:val="left"/>
        <w:tblInd w:w="0" w:type="dxa"/>
        <w:tblLayout w:type="fixed"/>
        <w:tblCellMar>
          <w:top w:w="0" w:type="dxa"/>
          <w:left w:w="0" w:type="dxa"/>
          <w:bottom w:w="0" w:type="dxa"/>
          <w:right w:w="0" w:type="dxa"/>
        </w:tblCellMar>
      </w:tblPr>
      <w:tblGrid>
        <w:gridCol w:w="3451"/>
        <w:gridCol w:w="109"/>
        <w:gridCol w:w="211"/>
        <w:gridCol w:w="781"/>
        <w:gridCol w:w="154"/>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1385" cy="175260"/>
                      <wp:effectExtent l="0" t="0" r="0" b="0"/>
                      <wp:wrapNone/>
                      <wp:docPr id="237" name="Frame237"/>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95935" cy="175260"/>
                      <wp:effectExtent l="0" t="0" r="0" b="0"/>
                      <wp:wrapNone/>
                      <wp:docPr id="240" name="Frame2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97790" cy="175260"/>
                      <wp:effectExtent l="0" t="0" r="0" b="0"/>
                      <wp:wrapNone/>
                      <wp:docPr id="241" name="Frame24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16,</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assets acquired: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7,545</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 and retentions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24,387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55,300</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110,386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212,906</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liabilities assumed:</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related accruals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2,435</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1,964</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8,960</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payable (non-current)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11,878</w:t>
            </w:r>
          </w:p>
        </w:tc>
        <w:tc>
          <w:tcPr>
            <w:tcW w:w="154" w:type="dxa"/>
            <w:tcBorders/>
            <w:vAlign w:val="center"/>
          </w:tcPr>
          <w:p>
            <w:pPr>
              <w:pStyle w:val="TableContents"/>
              <w:bidi w:val="0"/>
              <w:spacing w:before="0" w:after="0"/>
              <w:ind w:left="0" w:right="0" w:hanging="0"/>
              <w:jc w:val="left"/>
              <w:rPr/>
            </w:pPr>
            <w:r>
              <w:rPr/>
              <w:t>​</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35,405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177,501</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goodwill is attributable to the synergies the Company expects to achieve through leveraging the acquired technology to its existing customers, the workforce of ESAero and expected future customers in the AxS market. For income tax purposes the acquisition is treated as a stock acquisition, as such the goodwill associated with this purchase is not deductible.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159" w:name="Tc_l2MbZJV_nU2js4nRytPeog_7_1"/>
      <w:bookmarkStart w:id="1160" w:name="Tc_iMcF15xRvkqbuG5F_tX1kQ_7_0"/>
      <w:bookmarkStart w:id="1161" w:name="Tc_LvRYxvMwQUOlFlS_4e-zmA_6_0"/>
      <w:bookmarkStart w:id="1162" w:name="Tc_bgoFautiL0u9RFY13y0abQ_5_1"/>
      <w:bookmarkStart w:id="1163" w:name="Tc_askkbPKZMky9GDDLpubWLw_5_0"/>
      <w:bookmarkStart w:id="1164" w:name="Tc_5UF_DCoBe0KP9prdjTEtFw_4_0"/>
      <w:bookmarkStart w:id="1165" w:name="Tc_vbfoTLTZokm1VyHwDrchoA_3_0"/>
      <w:bookmarkStart w:id="1166" w:name="Tc_YGJvolkOhkqtq7-DwLvIVw_2_1"/>
      <w:bookmarkStart w:id="1167" w:name="Tc_6ynj1IF1WEK9FPmz9XokYQ_2_0"/>
      <w:bookmarkStart w:id="1168" w:name="Tc_K02VP8vfF022YbACa7sWkw_1_2"/>
      <w:bookmarkStart w:id="1169" w:name="Tc_egCid3aBl0yU_MpG9CqX9w_1_0"/>
      <w:bookmarkStart w:id="1170" w:name="Tc_TMkWxFltgECxwgtui77M6g_5_2"/>
      <w:bookmarkStart w:id="1171" w:name="Tc_S0XY9dLTXkih1BSzm8mjEA_5_0"/>
      <w:bookmarkStart w:id="1172" w:name="Tc_ZC4vug_mD063A3VQIalLnQ_4_2"/>
      <w:bookmarkStart w:id="1173" w:name="Tc_BE2Fb6kdgkOxlnpiflceOg_4_0"/>
      <w:bookmarkStart w:id="1174" w:name="Tc_DBf2blCjOk6DGWjXBu-Nww_3_2"/>
      <w:bookmarkStart w:id="1175" w:name="Tc_GKgILPl-PEKe60FPEqrL9w_2_2"/>
      <w:bookmarkStart w:id="1176" w:name="Tc_IV42GtMKCkKHuZ35hbFqww_1_2"/>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r>
        <w:rPr>
          <w:rFonts w:ascii="Times New Roman;Times;serif" w:hAnsi="Times New Roman;Times;serif"/>
          <w:b/>
          <w:sz w:val="20"/>
        </w:rPr>
        <w:t>ESAero Supplemental Pro Forma Information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ESAero revenue and income from operations for the period ended April 30, 2026 since acquisition on March 16, 2026 was $20,038,000 and $5,951,000, inclusive of $1,116,000 of intangible amortization, respectively, as of April 30, 2026. The following unaudited pro forma summary presents condensed consolidated information of the Company as if the business acquisition had occurred on May 1, 2024 (in thousands):</w:t>
      </w:r>
    </w:p>
    <w:p>
      <w:pPr>
        <w:pStyle w:val="TextBody"/>
        <w:bidi w:val="0"/>
        <w:spacing w:before="0" w:after="0"/>
        <w:ind w:left="0" w:right="0" w:hanging="0"/>
        <w:jc w:val="left"/>
        <w:rPr/>
      </w:pPr>
      <w:r>
        <w:rPr/>
        <w:t>​</w:t>
      </w:r>
    </w:p>
    <w:tbl>
      <w:tblPr>
        <w:tblW w:w="2645" w:type="dxa"/>
        <w:jc w:val="left"/>
        <w:tblInd w:w="0" w:type="dxa"/>
        <w:tblLayout w:type="fixed"/>
        <w:tblCellMar>
          <w:top w:w="0" w:type="dxa"/>
          <w:left w:w="0" w:type="dxa"/>
          <w:bottom w:w="0" w:type="dxa"/>
          <w:right w:w="0" w:type="dxa"/>
        </w:tblCellMar>
      </w:tblPr>
      <w:tblGrid>
        <w:gridCol w:w="841"/>
        <w:gridCol w:w="109"/>
        <w:gridCol w:w="340"/>
        <w:gridCol w:w="1355"/>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34035" cy="175260"/>
                      <wp:effectExtent l="0" t="0" r="0" b="0"/>
                      <wp:wrapNone/>
                      <wp:docPr id="242" name="Frame24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5900" cy="175260"/>
                      <wp:effectExtent l="0" t="0" r="0" b="0"/>
                      <wp:wrapNone/>
                      <wp:docPr id="244" name="Frame244"/>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860425" cy="175260"/>
                      <wp:effectExtent l="0" t="0" r="0" b="0"/>
                      <wp:wrapNone/>
                      <wp:docPr id="245" name="Frame245"/>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477,343</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(65,791)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year ended April 30, 2025, reflecting the additional amortization that would have been charged and including the results of ESAero prior to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incurred approximately $2,504,000 of acquisition-related expenses for the fiscal year ended April 30, 2026. These expenses are included in SG&amp;A on the Company’s consolidated statements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2024, nor are they indicative of results of operations that may occur in the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BlueHalo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1, 2025, the Company closed its acquisition of BlueHalo for merger consideration, net of cash acquired, of $3,484,945,000. Through the acquisition, BlueHalo is incorporated into the Company’s AxS and SCDE segments. The Company accounted for the acquisition under the acquisition method of accounting for business combinations.</w:t>
      </w:r>
    </w:p>
    <w:p>
      <w:pPr>
        <w:pStyle w:val="TextBody"/>
        <w:bidi w:val="0"/>
        <w:spacing w:before="0" w:after="0"/>
        <w:ind w:left="0" w:right="0" w:hanging="0"/>
        <w:jc w:val="left"/>
        <w:rPr/>
      </w:pPr>
      <w:r>
        <w:rPr/>
        <w:t>​</w:t>
      </w:r>
    </w:p>
    <w:tbl>
      <w:tblPr>
        <w:tblW w:w="5145" w:type="dxa"/>
        <w:jc w:val="left"/>
        <w:tblInd w:w="0" w:type="dxa"/>
        <w:tblLayout w:type="fixed"/>
        <w:tblCellMar>
          <w:top w:w="0" w:type="dxa"/>
          <w:left w:w="0" w:type="dxa"/>
          <w:bottom w:w="0" w:type="dxa"/>
          <w:right w:w="0" w:type="dxa"/>
        </w:tblCellMar>
      </w:tblPr>
      <w:tblGrid>
        <w:gridCol w:w="3886"/>
        <w:gridCol w:w="211"/>
        <w:gridCol w:w="1048"/>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467610" cy="175260"/>
                      <wp:effectExtent l="0" t="0" r="0" b="0"/>
                      <wp:wrapNone/>
                      <wp:docPr id="246" name="Frame246"/>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65480" cy="175260"/>
                      <wp:effectExtent l="0" t="0" r="0" b="0"/>
                      <wp:wrapNone/>
                      <wp:docPr id="248" name="Frame248"/>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consideration transferred</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2,640,365</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BlueHalo’s transaction expenses</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BlueHalo’s debt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863,207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Merger consideration</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3,528,786</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cash acquired</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(43,841)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consideration transferred</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3,484,945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 of the Company’s common stock issued is based on 17,425,849 shares issued as consideration, per the terms of the Merger Agreement, and the closing share price of the Company’s common stock of $151.52 on April 30,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77" w:name="Tc_cOuSVL-_PkOYgB1VNfeWBQ_7_1"/>
      <w:bookmarkStart w:id="1178" w:name="Tc_aDIXyif6ZEqNI7D4VBcrZw_7_0"/>
      <w:bookmarkStart w:id="1179" w:name="Tc_C0Qphfa7QkWFXCtPSsD_qg_6_3"/>
      <w:bookmarkStart w:id="1180" w:name="Tc_KPYc5ypg2kGEOchhgKuwaA_6_0"/>
      <w:bookmarkStart w:id="1181" w:name="Tc_VfHd5y63gkqfzUVQvGAtGQ_5_3"/>
      <w:bookmarkStart w:id="1182" w:name="Tc_WNlLg_4L7EyW5KCx7ISoKg_5_0"/>
      <w:bookmarkStart w:id="1183" w:name="Tc_POQ8LFcAAUOZiqjZ47LeBQ_4_3"/>
      <w:bookmarkStart w:id="1184" w:name="Tc_DOeJR5Vh5kqg5BXelX6Y0Q_4_1"/>
      <w:bookmarkStart w:id="1185" w:name="Tc_GdzF4VWND0aelgMklESdnQ_4_0"/>
      <w:bookmarkStart w:id="1186" w:name="Tc_pmqQ9OXqyEqNHHlG9B7JFQ_3_0"/>
      <w:bookmarkStart w:id="1187" w:name="Tc_35QMPjhMw0qeZ6Qj32xusA_2_3"/>
      <w:bookmarkStart w:id="1188" w:name="Tc_5U7fBGfCFEWX6eYQqMftgQ_1_3"/>
      <w:bookmarkStart w:id="1189" w:name="Tc_mdyT9jWFuUO0DGq1bs9FRQ_1_2"/>
      <w:bookmarkStart w:id="1190" w:name="_ebbbf69c_fa8b_4cf7_8846_f089edac169a"/>
      <w:bookmarkStart w:id="1191" w:name="Tc_k0Ao8UxpRkKnkAhdlQxTQQ_27_2"/>
      <w:bookmarkStart w:id="1192" w:name="Tc_XUk5WW0x5E6XE5mDWI6CYw_27_0"/>
      <w:bookmarkStart w:id="1193" w:name="Tc_6yr_0TaDNEuuIYDdBMrj0A_26_0"/>
      <w:bookmarkStart w:id="1194" w:name="Tc_jcdgwenvZEuGVoumknmp4w_25_0"/>
      <w:bookmarkStart w:id="1195" w:name="Tc_uKB13DPQEkymMWmijKvv4g_24_0"/>
      <w:bookmarkStart w:id="1196" w:name="Tc_8OWTNHjlFEqH4VLb12FL1w_23_0"/>
      <w:bookmarkStart w:id="1197" w:name="Tc_DQDaCYfRq0u8FRdlFaozPA_22_0"/>
      <w:bookmarkStart w:id="1198" w:name="Tc_VE9XPvi6MEujOPfS5FfJyw_21_0"/>
      <w:bookmarkStart w:id="1199" w:name="Tc_ueClTzk--U2EAJx48uPBaw_20_0"/>
      <w:bookmarkStart w:id="1200" w:name="Tc_qYG1chWBKEOIK3tO8LfpUg_19_0"/>
      <w:bookmarkStart w:id="1201" w:name="Tc_enG-t3re1UqL3lkcQMYzxg_18_0"/>
      <w:bookmarkStart w:id="1202" w:name="Tc_uJrKU-SDrUGyTOiHweSDYw_17_0"/>
      <w:bookmarkStart w:id="1203" w:name="Tc_p1fkc1WKx0GkTkqjx8KwSQ_15_2"/>
      <w:bookmarkStart w:id="1204" w:name="Tc_RbvHxGQsbUKeQzHv3qup5A_15_0"/>
      <w:bookmarkStart w:id="1205" w:name="Tc_kywMAXVVfE-JJvPuXKrIVg_14_0"/>
      <w:bookmarkStart w:id="1206" w:name="Tc_LVGyEwNuO02poFofCJ_v8w_13_0"/>
      <w:bookmarkStart w:id="1207" w:name="Tc_fW4BTic0rkekY_yR7MHTfA_12_0"/>
      <w:bookmarkStart w:id="1208" w:name="Tc_mDzc56UUnEKjmM1zTOc5aQ_11_0"/>
      <w:bookmarkStart w:id="1209" w:name="Tc_oyYAOgguJUSjTPKF1SVF_g_10_0"/>
      <w:bookmarkStart w:id="1210" w:name="Tc_B5fYWFeWjUiQrlnXN8N6bA_9_0"/>
      <w:bookmarkStart w:id="1211" w:name="Tc_ulbc0zRb-0mjANxX-idK1A_8_0"/>
      <w:bookmarkStart w:id="1212" w:name="Tc_bjvMs0O7XUeEaoPrusXzGw_7_0"/>
      <w:bookmarkStart w:id="1213" w:name="Tc_DImzI5p1JEK_gNbfkblfPw_6_0"/>
      <w:bookmarkStart w:id="1214" w:name="Tc_DaCuEyRQB0WnZ6BhecWJgQ_5_0"/>
      <w:bookmarkStart w:id="1215" w:name="Tc_5InE6O86Z0aIArC1XOqpsQ_4_2"/>
      <w:bookmarkStart w:id="1216" w:name="Tc_OyiZeEuapUCsUfEc3p2kfw_4_0"/>
      <w:bookmarkStart w:id="1217" w:name="Tc_omJXeF55vUyUbnaWsglpmw_3_0"/>
      <w:bookmarkStart w:id="1218" w:name="Tc_ZADuoMgzwUCAbKdpLmr3cg_2_2"/>
      <w:bookmarkStart w:id="1219" w:name="Tc_giXmLXouekeO5RXBM62CWg_1_2"/>
      <w:bookmarkStart w:id="1220" w:name="_da4dd5e8_d853_4f40_b9c8_5559d437ca88"/>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r>
        <w:rPr>
          <w:rFonts w:ascii="Times New Roman;Times;serif" w:hAnsi="Times New Roman;Times;serif"/>
          <w:sz w:val="20"/>
        </w:rPr>
        <w:t>The following table summarizes the preliminary allocation of the fair value of the merger consideration transferred to assets acquired and liabilities assumed as of the acquisition date (in thousands):</w:t>
      </w:r>
    </w:p>
    <w:tbl>
      <w:tblPr>
        <w:tblW w:w="8056" w:type="dxa"/>
        <w:jc w:val="left"/>
        <w:tblInd w:w="0" w:type="dxa"/>
        <w:tblLayout w:type="fixed"/>
        <w:tblCellMar>
          <w:top w:w="0" w:type="dxa"/>
          <w:left w:w="0" w:type="dxa"/>
          <w:bottom w:w="0" w:type="dxa"/>
          <w:right w:w="0" w:type="dxa"/>
        </w:tblCellMar>
      </w:tblPr>
      <w:tblGrid>
        <w:gridCol w:w="6451"/>
        <w:gridCol w:w="346"/>
        <w:gridCol w:w="211"/>
        <w:gridCol w:w="1048"/>
      </w:tblGrid>
      <w:tr>
        <w:trPr/>
        <w:tc>
          <w:tcPr>
            <w:tcW w:w="6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096385" cy="175260"/>
                      <wp:effectExtent l="0" t="0" r="0" b="0"/>
                      <wp:wrapNone/>
                      <wp:docPr id="249" name="Frame249"/>
                      <a:graphic xmlns:a="http://schemas.openxmlformats.org/drawingml/2006/main">
                        <a:graphicData uri="http://schemas.microsoft.com/office/word/2010/wordprocessingShape">
                          <wps:wsp>
                            <wps:cNvSpPr txBox="1"/>
                            <wps:spPr>
                              <a:xfrm>
                                <a:off x="0" y="0"/>
                                <a:ext cx="4096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65480" cy="175260"/>
                      <wp:effectExtent l="0" t="0" r="0" b="0"/>
                      <wp:wrapNone/>
                      <wp:docPr id="252" name="Frame252"/>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May 1,</w:t>
            </w:r>
          </w:p>
        </w:tc>
      </w:tr>
      <w:tr>
        <w:trPr/>
        <w:tc>
          <w:tcPr>
            <w:tcW w:w="6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assets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48" w:type="dxa"/>
            <w:tcBorders/>
            <w:shd w:fill="CCEEFF" w:val="clear"/>
            <w:vAlign w:val="center"/>
          </w:tcPr>
          <w:p>
            <w:pPr>
              <w:pStyle w:val="TableContents"/>
              <w:bidi w:val="0"/>
              <w:spacing w:before="0" w:after="0"/>
              <w:ind w:left="0" w:right="0" w:hanging="0"/>
              <w:jc w:val="center"/>
              <w:rPr/>
            </w:pPr>
            <w:r>
              <w:rPr/>
              <w:t>​</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$420 at May 1, 2025</w:t>
            </w:r>
          </w:p>
        </w:tc>
        <w:tc>
          <w:tcPr>
            <w:tcW w:w="346" w:type="dxa"/>
            <w:tcBorders/>
            <w:vAlign w:val="center"/>
          </w:tcPr>
          <w:p>
            <w:pPr>
              <w:pStyle w:val="TableContents"/>
              <w:bidi w:val="0"/>
              <w:spacing w:before="0" w:after="0"/>
              <w:ind w:left="0" w:right="0" w:hanging="0"/>
              <w:jc w:val="left"/>
              <w:rPr/>
            </w:pPr>
            <w:r>
              <w:rPr/>
              <w:t>  ​ ​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79,665</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 and retentions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96,414</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87,794</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3,941</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13,628</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87,841</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70,879</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1,029,800</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2,367,428</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3,838,627</w:t>
            </w:r>
          </w:p>
        </w:tc>
      </w:tr>
      <w:tr>
        <w:trPr/>
        <w:tc>
          <w:tcPr>
            <w:tcW w:w="6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liabilities assumed: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56,930</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related accruals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43,031</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42,700</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6,707</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11,971</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64,720</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Liability for uncertain tax positions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127,187</w:t>
            </w:r>
          </w:p>
        </w:tc>
      </w:tr>
      <w:tr>
        <w:trPr/>
        <w:tc>
          <w:tcPr>
            <w:tcW w:w="6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353,682</w:t>
            </w:r>
          </w:p>
        </w:tc>
      </w:tr>
      <w:tr>
        <w:trPr/>
        <w:tc>
          <w:tcPr>
            <w:tcW w:w="6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3,484,945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assigned to intangible assets has been estimated based on third-party preliminary valuation studies utilizing income-based methodologies and corroborated with benchmarks of similar transactions in the industry. Use of different estimates and judgments could yield materially different results. All intangible assets acquired in the BlueHalo acquisition are subject to amortization.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goodwill is attributable to the differences between the estimated fair value of the consideration transferred and the estimated fair value of the assets acquired, and liabilities assumed. For income tax purposes the goodwill and intangibles are not deductible for tax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valuation of the fair value of intangible assets acquired (in thousands):</w:t>
      </w:r>
    </w:p>
    <w:p>
      <w:pPr>
        <w:pStyle w:val="TextBody"/>
        <w:bidi w:val="0"/>
        <w:spacing w:before="0" w:after="0"/>
        <w:ind w:left="0" w:right="0" w:hanging="0"/>
        <w:jc w:val="left"/>
        <w:rPr/>
      </w:pPr>
      <w:r>
        <w:rPr/>
        <w:t>​</w:t>
      </w:r>
    </w:p>
    <w:tbl>
      <w:tblPr>
        <w:tblW w:w="6454" w:type="dxa"/>
        <w:jc w:val="left"/>
        <w:tblInd w:w="0" w:type="dxa"/>
        <w:tblLayout w:type="fixed"/>
        <w:tblCellMar>
          <w:top w:w="0" w:type="dxa"/>
          <w:left w:w="0" w:type="dxa"/>
          <w:bottom w:w="0" w:type="dxa"/>
          <w:right w:w="0" w:type="dxa"/>
        </w:tblCellMar>
      </w:tblPr>
      <w:tblGrid>
        <w:gridCol w:w="3346"/>
        <w:gridCol w:w="211"/>
        <w:gridCol w:w="991"/>
        <w:gridCol w:w="1906"/>
      </w:tblGrid>
      <w:tr>
        <w:trPr/>
        <w:tc>
          <w:tcPr>
            <w:tcW w:w="3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124710" cy="175260"/>
                      <wp:effectExtent l="0" t="0" r="0" b="0"/>
                      <wp:wrapNone/>
                      <wp:docPr id="253" name="Frame253"/>
                      <a:graphic xmlns:a="http://schemas.openxmlformats.org/drawingml/2006/main">
                        <a:graphicData uri="http://schemas.microsoft.com/office/word/2010/wordprocessingShape">
                          <wps:wsp>
                            <wps:cNvSpPr txBox="1"/>
                            <wps:spPr>
                              <a:xfrm>
                                <a:off x="0" y="0"/>
                                <a:ext cx="2124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29285" cy="175260"/>
                      <wp:effectExtent l="0" t="0" r="0" b="0"/>
                      <wp:wrapNone/>
                      <wp:docPr id="255" name="Frame255"/>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210310" cy="175260"/>
                      <wp:effectExtent l="0" t="0" r="0" b="0"/>
                      <wp:wrapNone/>
                      <wp:docPr id="256" name="Frame256"/>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Fair Value </w:t>
            </w:r>
          </w:p>
        </w:tc>
        <w:tc>
          <w:tcPr>
            <w:tcW w:w="19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Estimated Useful Life</w:t>
            </w:r>
          </w:p>
        </w:tc>
      </w:tr>
      <w:tr>
        <w:trPr/>
        <w:tc>
          <w:tcPr>
            <w:tcW w:w="3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intangible assets acquired:</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1906" w:type="dxa"/>
            <w:tcBorders/>
            <w:shd w:fill="CCEEFF" w:val="clear"/>
            <w:vAlign w:val="center"/>
          </w:tcPr>
          <w:p>
            <w:pPr>
              <w:pStyle w:val="TableContents"/>
              <w:bidi w:val="0"/>
              <w:spacing w:before="0" w:after="0"/>
              <w:ind w:left="0" w:right="0" w:hanging="0"/>
              <w:jc w:val="left"/>
              <w:rPr/>
            </w:pPr>
            <w:r>
              <w:rPr/>
              <w:t>​</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49,900</w:t>
            </w:r>
          </w:p>
        </w:tc>
        <w:tc>
          <w:tcPr>
            <w:tcW w:w="1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499,500</w:t>
            </w:r>
          </w:p>
        </w:tc>
        <w:tc>
          <w:tcPr>
            <w:tcW w:w="19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480,400</w:t>
            </w:r>
          </w:p>
        </w:tc>
        <w:tc>
          <w:tcPr>
            <w:tcW w:w="19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3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acquired</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1,029,800</w:t>
            </w:r>
          </w:p>
        </w:tc>
        <w:tc>
          <w:tcPr>
            <w:tcW w:w="190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rFonts w:ascii="Times New Roman;Times;serif" w:hAnsi="Times New Roman;Times;serif"/>
          <w:b/>
          <w:sz w:val="20"/>
        </w:rPr>
      </w:pPr>
      <w:bookmarkStart w:id="1221" w:name="Tc_41s8l9PfpkiDAeIJl4CZSg_5_2"/>
      <w:bookmarkStart w:id="1222" w:name="Tc_u0wtJIbS3kaZEkOnG8J5-A_5_0"/>
      <w:bookmarkStart w:id="1223" w:name="Tc_C17_n9GlfEi_3fge074WRQ_4_2"/>
      <w:bookmarkStart w:id="1224" w:name="Tc_m0iPRQbh3k61RFAg05ZSJQ_4_0"/>
      <w:bookmarkStart w:id="1225" w:name="Tc_PMlLmDHhmUeACy2scCyJPQ_3_2"/>
      <w:bookmarkStart w:id="1226" w:name="Tc_AwKBVgtWaEKyrOZYSgWeuQ_2_2"/>
      <w:bookmarkStart w:id="1227" w:name="Tc_1Qn2YR5ERE65HYQcMlDyow_1_2"/>
      <w:bookmarkEnd w:id="1221"/>
      <w:bookmarkEnd w:id="1222"/>
      <w:bookmarkEnd w:id="1223"/>
      <w:bookmarkEnd w:id="1224"/>
      <w:bookmarkEnd w:id="1225"/>
      <w:bookmarkEnd w:id="1226"/>
      <w:bookmarkEnd w:id="1227"/>
      <w:r>
        <w:rPr>
          <w:rFonts w:ascii="Times New Roman;Times;serif" w:hAnsi="Times New Roman;Times;serif"/>
          <w:b/>
          <w:sz w:val="20"/>
        </w:rPr>
        <w:t>BlueHalo Supplemental Pro Forma Information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BlueHalo revenue and loss from operations for the twelve months ended April 30, 2026 since its acquisition on May 1, 2025 was $919,414,000 and $(365,818,000), inclusive of $208,482,000 of intangible amortization and $240,708,000 of goodwill impairment. The following unaudited pro forma summary presents condensed consolidated information of the Company as if the business acquisition had occurred on May 1, 2024, the first day of the Company’s fiscal year 2025. The pro forma amounts include the historical operating results of the Company and BlueHalo prior to the acquisition. The pro forma results are not necessarily indicative of the Company’s results of operations that would have been obtained had the acquisition of BlueHalo been completed for the period presented, or which may be realized in the future (in thousands):</w:t>
      </w:r>
    </w:p>
    <w:p>
      <w:pPr>
        <w:pStyle w:val="TextBody"/>
        <w:bidi w:val="0"/>
        <w:spacing w:before="0" w:after="0"/>
        <w:ind w:left="0" w:right="0" w:hanging="0"/>
        <w:jc w:val="left"/>
        <w:rPr/>
      </w:pPr>
      <w:r>
        <w:rPr/>
        <w:t>​</w:t>
      </w:r>
    </w:p>
    <w:tbl>
      <w:tblPr>
        <w:tblW w:w="2645" w:type="dxa"/>
        <w:jc w:val="left"/>
        <w:tblInd w:w="0" w:type="dxa"/>
        <w:tblLayout w:type="fixed"/>
        <w:tblCellMar>
          <w:top w:w="0" w:type="dxa"/>
          <w:left w:w="0" w:type="dxa"/>
          <w:bottom w:w="0" w:type="dxa"/>
          <w:right w:w="0" w:type="dxa"/>
        </w:tblCellMar>
      </w:tblPr>
      <w:tblGrid>
        <w:gridCol w:w="841"/>
        <w:gridCol w:w="109"/>
        <w:gridCol w:w="340"/>
        <w:gridCol w:w="1355"/>
      </w:tblGrid>
      <w:tr>
        <w:trPr/>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34035" cy="175260"/>
                      <wp:effectExtent l="0" t="0" r="0" b="0"/>
                      <wp:wrapNone/>
                      <wp:docPr id="257" name="Frame25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9215" cy="175260"/>
                      <wp:effectExtent l="0" t="0" r="0" b="0"/>
                      <wp:wrapNone/>
                      <wp:docPr id="258" name="Frame2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5900" cy="175260"/>
                      <wp:effectExtent l="0" t="0" r="0" b="0"/>
                      <wp:wrapNone/>
                      <wp:docPr id="259" name="Frame259"/>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860425" cy="175260"/>
                      <wp:effectExtent l="0" t="0" r="0" b="0"/>
                      <wp:wrapNone/>
                      <wp:docPr id="260" name="Frame260"/>
                      <a:graphic xmlns:a="http://schemas.openxmlformats.org/drawingml/2006/main">
                        <a:graphicData uri="http://schemas.microsoft.com/office/word/2010/wordprocessingShape">
                          <wps:wsp>
                            <wps:cNvSpPr txBox="1"/>
                            <wps:spPr>
                              <a:xfrm>
                                <a:off x="0" y="0"/>
                                <a:ext cx="860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8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8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454,675</w:t>
            </w:r>
          </w:p>
        </w:tc>
      </w:tr>
      <w:tr>
        <w:trPr/>
        <w:tc>
          <w:tcPr>
            <w:tcW w:w="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109" w:type="dxa"/>
            <w:tcBorders/>
            <w:vAlign w:val="center"/>
          </w:tcPr>
          <w:p>
            <w:pPr>
              <w:pStyle w:val="TableContents"/>
              <w:bidi w:val="0"/>
              <w:spacing w:before="0" w:after="0"/>
              <w:ind w:left="0" w:right="0" w:hanging="0"/>
              <w:jc w:val="left"/>
              <w:rPr/>
            </w:pPr>
            <w:r>
              <w:rPr/>
              <w:t>​</w:t>
            </w:r>
          </w:p>
        </w:tc>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(36,110)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recognized a nonrecurring pro forma adjustment to pro forma earnings to amortize an increase in the fair value of inventory acquired during the year ended April 30, 2026. In addition, for the twelve months ended April 30, 2026, the amortization expense associated with the Company’s one-year intangible backlog has been eliminated within the pro forma adjustments.</w:t>
      </w:r>
    </w:p>
    <w:p>
      <w:pPr>
        <w:pStyle w:val="TextBody"/>
        <w:pBdr/>
        <w:bidi w:val="0"/>
        <w:spacing w:before="0" w:after="0"/>
        <w:ind w:left="0" w:right="0" w:hanging="965"/>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year ended April 30, 2025, reflecting the additional amortization and depreciation that would have been charged, incremental interest expense associated with the initial financing for the acquisition under the term loan and revolver, and including the results of BlueHalo prior to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incurred approximately $64,194,000 of BlueHalo acquisition-related expenses including integration costs. The Company recognized a nonrecurring pro forma adjustment to the three months ended August 2, 2025 to remove the impact of $23,730,000 of the transaction costs incurred in the period to reflect the costs as if the acquisition was completed during the year ended April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unaudited pro forma combined financial information presented above does not give effect to the July 2025 common stock issuance and Notes issuance, as such proceeds were not used to fund the BlueHalo acquisition. As the Company’s repayment of indebtedness using the proceeds of the common stock issuance and Notes issuance was not directly attributable to the acquisition, the related reduction in interest expense is not reflected in this unaudited pro forma combined financial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228" w:name="Tc_qDT4woNhYkWS1CLX5rsw9g_6_2"/>
      <w:bookmarkStart w:id="1229" w:name="Tc_-Kv_m2kE_EG2hOYz1vnUVg_6_0"/>
      <w:bookmarkStart w:id="1230" w:name="Tc_4PA_vurVlEeDwzBRLj7UdA_5_0"/>
      <w:bookmarkStart w:id="1231" w:name="Tc_BsrppwtHeECCoogjOTlxdw_4_2"/>
      <w:bookmarkStart w:id="1232" w:name="Tc_Bmx8eFz910ycPQTSP6v73w_3_2"/>
      <w:bookmarkStart w:id="1233" w:name="Tc_IFm7CFCfm0iCIPzyUOJhzA_2_2"/>
      <w:bookmarkStart w:id="1234" w:name="Tc_pGAdVfsMrkCtovA41wRT4A_1_2"/>
      <w:bookmarkStart w:id="1235" w:name="_b72becc1_99ba_4dd0_aded_b2cfc022407d"/>
      <w:bookmarkEnd w:id="1228"/>
      <w:bookmarkEnd w:id="1229"/>
      <w:bookmarkEnd w:id="1230"/>
      <w:bookmarkEnd w:id="1231"/>
      <w:bookmarkEnd w:id="1232"/>
      <w:bookmarkEnd w:id="1233"/>
      <w:bookmarkEnd w:id="1234"/>
      <w:bookmarkEnd w:id="1235"/>
      <w:r>
        <w:rPr>
          <w:rFonts w:ascii="Times New Roman;Times;serif" w:hAnsi="Times New Roman;Times;serif"/>
          <w:b/>
          <w:sz w:val="20"/>
        </w:rPr>
        <w:t>16. Pension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includes the projected benefit obligation and fair value of plan assets as of April 30, 2026. The net fair value of plan assets (in thousands) is recorded in other assets on the unaudited condensed consolidated balance sheet.</w:t>
      </w:r>
    </w:p>
    <w:tbl>
      <w:tblPr>
        <w:tblW w:w="3695" w:type="dxa"/>
        <w:jc w:val="left"/>
        <w:tblInd w:w="0" w:type="dxa"/>
        <w:tblLayout w:type="fixed"/>
        <w:tblCellMar>
          <w:top w:w="0" w:type="dxa"/>
          <w:left w:w="0" w:type="dxa"/>
          <w:bottom w:w="0" w:type="dxa"/>
          <w:right w:w="0" w:type="dxa"/>
        </w:tblCellMar>
      </w:tblPr>
      <w:tblGrid>
        <w:gridCol w:w="2401"/>
        <w:gridCol w:w="109"/>
        <w:gridCol w:w="281"/>
        <w:gridCol w:w="904"/>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524635" cy="175260"/>
                      <wp:effectExtent l="0" t="0" r="0" b="0"/>
                      <wp:wrapNone/>
                      <wp:docPr id="261" name="Frame261"/>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9215" cy="175260"/>
                      <wp:effectExtent l="0" t="0" r="0" b="0"/>
                      <wp:wrapNone/>
                      <wp:docPr id="262"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78435" cy="175260"/>
                      <wp:effectExtent l="0" t="0" r="0" b="0"/>
                      <wp:wrapNone/>
                      <wp:docPr id="263" name="Frame26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74040" cy="175260"/>
                      <wp:effectExtent l="0" t="0" r="0" b="0"/>
                      <wp:wrapNone/>
                      <wp:docPr id="264" name="Frame264"/>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benefit obligation</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(3,249)</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Funded status of the plan</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613</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36" w:name="Tc_nnBPWgP7rUy5Y_c7vWgTdw_7_5"/>
      <w:bookmarkStart w:id="1237" w:name="Tc_BtdUtO-VZU2Z6bHwg4Kpzw_7_2"/>
      <w:bookmarkStart w:id="1238" w:name="Tc_eVg45LJpHkqtCOXKDI3flQ_7_0"/>
      <w:bookmarkStart w:id="1239" w:name="Tc_hRBRNtBP_0qG1TkxryJIJQ_6_6"/>
      <w:bookmarkStart w:id="1240" w:name="Tc_WMxZqdNJ6EC09w_lJkG-AQ_6_3"/>
      <w:bookmarkStart w:id="1241" w:name="Tc_kV_D9L-y_Uy8cEMvXu4I9A_6_0"/>
      <w:bookmarkStart w:id="1242" w:name="Tc_5JcmT7bKDEWaLg82VediaQ_5_0"/>
      <w:bookmarkStart w:id="1243" w:name="Tc_aW_GUShrNkeSCb9fOf2Fmg_4_6"/>
      <w:bookmarkStart w:id="1244" w:name="Tc_4PlePJV-Qkibe5gkEF7mdg_4_5"/>
      <w:bookmarkStart w:id="1245" w:name="Tc_Z1dyyy25m0WUhX0k4BmfHQ_4_3"/>
      <w:bookmarkStart w:id="1246" w:name="Tc_qKL6ntGrf0qOrLCmLQO5qA_4_2"/>
      <w:bookmarkStart w:id="1247" w:name="Tc_6FUjEKkkCk2QpnX711btng_4_0"/>
      <w:bookmarkStart w:id="1248" w:name="Tc_vSKMd_H010OMKknd63ixWQ_3_5"/>
      <w:bookmarkStart w:id="1249" w:name="Tc_hfjMYAg1qUi1kvgeB1HANA_3_2"/>
      <w:bookmarkStart w:id="1250" w:name="Tc_9OJRsBPo3USSuYfOfc8VMw_2_5"/>
      <w:bookmarkStart w:id="1251" w:name="Tc_MJJrAgLsGEO98wuiKqXKZQ_2_2"/>
      <w:bookmarkStart w:id="1252" w:name="Tc_53y1ValkJkiizqSU6xiA-Q_1_2"/>
      <w:bookmarkStart w:id="1253" w:name="_874ceb22_be57_4aeb_86b3_3a90ec056265"/>
      <w:bookmarkStart w:id="1254" w:name="Tc_uKPrn5kEyUy0ft_eRiOpzA_7_2"/>
      <w:bookmarkStart w:id="1255" w:name="Tc_dVK4yfSpMUuxbX182kaZmg_7_0"/>
      <w:bookmarkStart w:id="1256" w:name="Tc_eTDwuo1_3kS8A31FMFpX7w_6_0"/>
      <w:bookmarkStart w:id="1257" w:name="Tc_8Olh8S7rRkGTOW5Hf25zBA_5_0"/>
      <w:bookmarkStart w:id="1258" w:name="Tc_Xr4Xlzv4T0GmgE1ewVYwiA_4_0"/>
      <w:bookmarkStart w:id="1259" w:name="Tc_06bBJCaToEmzwuLe6F9y1w_3_0"/>
      <w:bookmarkStart w:id="1260" w:name="Tc_eeuoCzFnmEOGHjISaatmFQ_2_0"/>
      <w:bookmarkStart w:id="1261" w:name="Tc_tBRJ8V23oEy27ImeAvSSiQ_1_2"/>
      <w:bookmarkStart w:id="1262" w:name="Tc_jpFmJAbrWk6lWHYZ21a7Aw_1_0"/>
      <w:bookmarkStart w:id="1263" w:name="_81d6b39d_2fd3_4ba3_bb49_546cf3cabfe1"/>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projected benefit obligation includes assumptions of a discount rate of 4.1% and pension increase for in-payment benefits of 2.5% for both August 1, 2026</w:t>
      </w:r>
      <w:r>
        <w:rPr>
          <w:rFonts w:ascii="Times New Roman;Times;serif" w:hAnsi="Times New Roman;Times;serif"/>
          <w:sz w:val="20"/>
          <w:shd w:fill="FFFFFF" w:val="clear"/>
        </w:rPr>
        <w:t xml:space="preserve"> </w:t>
      </w:r>
      <w:r>
        <w:rPr>
          <w:rFonts w:ascii="Times New Roman;Times;serif" w:hAnsi="Times New Roman;Times;serif"/>
          <w:sz w:val="20"/>
        </w:rPr>
        <w:t>and April 30, 2026.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benefit payments as of April 30, 2026 (in thousands):</w:t>
      </w:r>
    </w:p>
    <w:p>
      <w:pPr>
        <w:pStyle w:val="TextBody"/>
        <w:bidi w:val="0"/>
        <w:spacing w:before="0" w:after="0"/>
        <w:ind w:left="0" w:right="0" w:hanging="0"/>
        <w:jc w:val="left"/>
        <w:rPr/>
      </w:pPr>
      <w:r>
        <w:rPr/>
        <w:t>​</w:t>
      </w:r>
    </w:p>
    <w:tbl>
      <w:tblPr>
        <w:tblW w:w="3784" w:type="dxa"/>
        <w:jc w:val="left"/>
        <w:tblInd w:w="0" w:type="dxa"/>
        <w:tblLayout w:type="fixed"/>
        <w:tblCellMar>
          <w:top w:w="0" w:type="dxa"/>
          <w:left w:w="0" w:type="dxa"/>
          <w:bottom w:w="0" w:type="dxa"/>
          <w:right w:w="0" w:type="dxa"/>
        </w:tblCellMar>
      </w:tblPr>
      <w:tblGrid>
        <w:gridCol w:w="2776"/>
        <w:gridCol w:w="109"/>
        <w:gridCol w:w="211"/>
        <w:gridCol w:w="688"/>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762760" cy="175260"/>
                      <wp:effectExtent l="0" t="0" r="0" b="0"/>
                      <wp:wrapNone/>
                      <wp:docPr id="265" name="Frame265"/>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36880" cy="175260"/>
                      <wp:effectExtent l="0" t="0" r="0" b="0"/>
                      <wp:wrapNone/>
                      <wp:docPr id="268" name="Frame268"/>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2031-2035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expected benefit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2,219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(in thousands) is recorded in interest expense, net.</w:t>
      </w:r>
    </w:p>
    <w:tbl>
      <w:tblPr>
        <w:tblW w:w="4462" w:type="dxa"/>
        <w:jc w:val="left"/>
        <w:tblInd w:w="0" w:type="dxa"/>
        <w:tblLayout w:type="fixed"/>
        <w:tblCellMar>
          <w:top w:w="0" w:type="dxa"/>
          <w:left w:w="0" w:type="dxa"/>
          <w:bottom w:w="0" w:type="dxa"/>
          <w:right w:w="0" w:type="dxa"/>
        </w:tblCellMar>
      </w:tblPr>
      <w:tblGrid>
        <w:gridCol w:w="2581"/>
        <w:gridCol w:w="109"/>
        <w:gridCol w:w="301"/>
        <w:gridCol w:w="494"/>
        <w:gridCol w:w="137"/>
        <w:gridCol w:w="275"/>
        <w:gridCol w:w="565"/>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38935" cy="175260"/>
                      <wp:effectExtent l="0" t="0" r="0" b="0"/>
                      <wp:wrapNone/>
                      <wp:docPr id="269" name="Frame269"/>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91135" cy="175260"/>
                      <wp:effectExtent l="0" t="0" r="0" b="0"/>
                      <wp:wrapNone/>
                      <wp:docPr id="271" name="Frame271"/>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313690" cy="175260"/>
                      <wp:effectExtent l="0" t="0" r="0" b="0"/>
                      <wp:wrapNone/>
                      <wp:docPr id="272" name="Frame272"/>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86995" cy="175260"/>
                      <wp:effectExtent l="0" t="0" r="0" b="0"/>
                      <wp:wrapNone/>
                      <wp:docPr id="273" name="Frame273"/>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74625" cy="175260"/>
                      <wp:effectExtent l="0" t="0" r="0" b="0"/>
                      <wp:wrapNone/>
                      <wp:docPr id="274" name="Frame274"/>
                      <a:graphic xmlns:a="http://schemas.openxmlformats.org/drawingml/2006/main">
                        <a:graphicData uri="http://schemas.microsoft.com/office/word/2010/wordprocessingShape">
                          <wps:wsp>
                            <wps:cNvSpPr txBox="1"/>
                            <wps:spPr>
                              <a:xfrm>
                                <a:off x="0" y="0"/>
                                <a:ext cx="174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358775" cy="175260"/>
                      <wp:effectExtent l="0" t="0" r="0" b="0"/>
                      <wp:wrapNone/>
                      <wp:docPr id="275" name="Frame275"/>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77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37" w:type="dxa"/>
            <w:tcBorders/>
            <w:vAlign w:val="center"/>
          </w:tcPr>
          <w:p>
            <w:pPr>
              <w:pStyle w:val="TableContents"/>
              <w:bidi w:val="0"/>
              <w:spacing w:before="0" w:after="0"/>
              <w:ind w:left="0" w:right="0" w:hanging="0"/>
              <w:jc w:val="left"/>
              <w:rPr/>
            </w:pPr>
            <w:r>
              <w:rPr/>
              <w:t>​</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37" w:type="dxa"/>
            <w:tcBorders/>
            <w:vAlign w:val="center"/>
          </w:tcPr>
          <w:p>
            <w:pPr>
              <w:pStyle w:val="TableContents"/>
              <w:bidi w:val="0"/>
              <w:spacing w:before="0" w:after="0"/>
              <w:ind w:left="0" w:right="0" w:hanging="0"/>
              <w:jc w:val="left"/>
              <w:rPr/>
            </w:pPr>
            <w:r>
              <w:rPr/>
              <w:t>​</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shd w:fill="CCEEFF" w:val="clear"/>
            <w:vAlign w:val="center"/>
          </w:tcPr>
          <w:p>
            <w:pPr>
              <w:pStyle w:val="TableContents"/>
              <w:bidi w:val="0"/>
              <w:spacing w:before="0" w:after="0"/>
              <w:ind w:left="0" w:right="0" w:hanging="0"/>
              <w:jc w:val="right"/>
              <w:rPr/>
            </w:pPr>
            <w:r>
              <w:rPr/>
              <w:t>—</w:t>
            </w:r>
          </w:p>
        </w:tc>
        <w:tc>
          <w:tcPr>
            <w:tcW w:w="137" w:type="dxa"/>
            <w:tcBorders/>
            <w:shd w:fill="CCEEFF" w:val="clear"/>
            <w:vAlign w:val="center"/>
          </w:tcPr>
          <w:p>
            <w:pPr>
              <w:pStyle w:val="TableContents"/>
              <w:bidi w:val="0"/>
              <w:spacing w:before="0" w:after="0"/>
              <w:ind w:left="0" w:right="0" w:hanging="0"/>
              <w:jc w:val="left"/>
              <w:rPr/>
            </w:pPr>
            <w:r>
              <w:rPr/>
              <w:t>​</w:t>
            </w:r>
          </w:p>
        </w:tc>
        <w:tc>
          <w:tcPr>
            <w:tcW w:w="27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4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37"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pPr>
            <w:r>
              <w:rPr/>
              <w:t>​</w:t>
            </w:r>
          </w:p>
        </w:tc>
        <w:tc>
          <w:tcPr>
            <w:tcW w:w="5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w:t>
            </w:r>
          </w:p>
        </w:tc>
        <w:tc>
          <w:tcPr>
            <w:tcW w:w="109"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7" w:type="dxa"/>
            <w:tcBorders/>
            <w:shd w:fill="CCEEFF" w:val="clear"/>
            <w:vAlign w:val="center"/>
          </w:tcPr>
          <w:p>
            <w:pPr>
              <w:pStyle w:val="TableContents"/>
              <w:bidi w:val="0"/>
              <w:spacing w:before="0" w:after="0"/>
              <w:ind w:left="0" w:right="0" w:hanging="0"/>
              <w:jc w:val="left"/>
              <w:rPr/>
            </w:pPr>
            <w:r>
              <w:rPr/>
              <w:t>​</w:t>
            </w:r>
          </w:p>
        </w:tc>
        <w:tc>
          <w:tcPr>
            <w:tcW w:w="2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w:t>
            </w:r>
          </w:p>
        </w:tc>
        <w:tc>
          <w:tcPr>
            <w:tcW w:w="109"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137" w:type="dxa"/>
            <w:tcBorders/>
            <w:vAlign w:val="center"/>
          </w:tcPr>
          <w:p>
            <w:pPr>
              <w:pStyle w:val="TableContents"/>
              <w:bidi w:val="0"/>
              <w:spacing w:before="0" w:after="0"/>
              <w:ind w:left="0" w:right="0" w:hanging="0"/>
              <w:jc w:val="left"/>
              <w:rPr/>
            </w:pPr>
            <w:r>
              <w:rPr/>
              <w:t>​</w:t>
            </w:r>
          </w:p>
        </w:tc>
        <w:tc>
          <w:tcPr>
            <w:tcW w:w="2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and other significant expenses, leading to decisions related to resource allocations in relation to profit and loss. Accordingly, the Company identifies two 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reportable segments are AxS and SCDE. The accounting policies of the segments are the same as those described in Note 1, “Organization and Significant Accounting Policies.” The operating segments sales to each other are eliminated. Effective May 1, 2025, segment adjusted EBITDA is the measure of profitability used by the CODM for purposes of making decisions about allocating resources to the segments and assessing performance. Segment adjusted EBITDA is defined as segment (loss) income from operations before depreciation and amortization, adjusted for the impact of certain other non-cash items, including amortization of implementation of cloud computing arrangements, stock-based compensation, and acquisition related expenses. Prior period segment information has been revised to align with the new segment presentation.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64" w:name="Tc_iB6mSte6HEGfH7RgZwtanw_21_8"/>
      <w:bookmarkStart w:id="1265" w:name="Tc_clrw9hmFEEG9LyAaTNHs9A_21_5"/>
      <w:bookmarkStart w:id="1266" w:name="Tc_-_ntlIJHSECgHluxyQByHw_21_2"/>
      <w:bookmarkStart w:id="1267" w:name="Tc_EFHromO5zUKbN_MVmL-2jg_21_0"/>
      <w:bookmarkStart w:id="1268" w:name="Tc_CNjrvc-PQUOgT3WfCYtofw_20_0"/>
      <w:bookmarkStart w:id="1269" w:name="Tc_ABM-03K73EiiYEzFTk6UCA_19_0"/>
      <w:bookmarkStart w:id="1270" w:name="Tc_R-XOiEPlokylRwti-IH_fQ_18_0"/>
      <w:bookmarkStart w:id="1271" w:name="Tc_i08z9LhmkEqs1jgFGulvRg_17_0"/>
      <w:bookmarkStart w:id="1272" w:name="Tc_r1sTjzElRUu5aGze7pXUEg_16_0"/>
      <w:bookmarkStart w:id="1273" w:name="Tc_osrJygtrgkaelAGDuJc9YQ_15_0"/>
      <w:bookmarkStart w:id="1274" w:name="Tc_8NL6FVb3u0uAeAbWb7Y7dw_14_0"/>
      <w:bookmarkStart w:id="1275" w:name="Tc_slAuBsKeMUK8fpEn2b-jug_13_0"/>
      <w:bookmarkStart w:id="1276" w:name="Tc_nYI5u-H670CcXdvVa0Icmw_12_0"/>
      <w:bookmarkStart w:id="1277" w:name="Tc_xzsyWOfR3k-PY651PIpT5w_11_0"/>
      <w:bookmarkStart w:id="1278" w:name="Tc_OmhUsTLUDky8d0of6kDPGA_10_0"/>
      <w:bookmarkStart w:id="1279" w:name="Tc_SHYlRhDw8UmbaloD4A1Aag_9_0"/>
      <w:bookmarkStart w:id="1280" w:name="Tc_xIaniMw7DkmxxRWzNACzPw_8_0"/>
      <w:bookmarkStart w:id="1281" w:name="Tc_Yj6B2Fqz4EmvsqXUNEQc8A_7_0"/>
      <w:bookmarkStart w:id="1282" w:name="Tc_eEj1K5jAGkWfWRbBQBQtBQ_5_0"/>
      <w:bookmarkStart w:id="1283" w:name="Tc_rpY4zNl9n06lWXro4wGl8Q_4_8"/>
      <w:bookmarkStart w:id="1284" w:name="Tc_rVYdX56q5kGV9F4GvTx3Wg_4_5"/>
      <w:bookmarkStart w:id="1285" w:name="Tc_gqNWzMnTukqlo8CyuaawtQ_4_2"/>
      <w:bookmarkStart w:id="1286" w:name="Tc_DRG0bQfIvkCOyduYDiIQpg_4_0"/>
      <w:bookmarkStart w:id="1287" w:name="Tc_Mh1zXleACECHGR7x76I3GA_3_0"/>
      <w:bookmarkStart w:id="1288" w:name="Tc_42cry3-Xsk2oiZrtPuYSEQ_2_8"/>
      <w:bookmarkStart w:id="1289" w:name="Tc_iT-PAmnUXEmmLe5mhVzz3g_2_5"/>
      <w:bookmarkStart w:id="1290" w:name="Tc_RGLwo_IaE0ePcfSotcV2RQ_2_2"/>
      <w:bookmarkStart w:id="1291" w:name="Tc_Nq3r0TigIkKJc7-BzNalNA_1_2"/>
      <w:bookmarkStart w:id="1292" w:name="_f46d710b_c708_4d6e_b96d_26bc85b11c50"/>
      <w:bookmarkStart w:id="1293" w:name="Tc_kBlNH6keUU-5WL-9VBjJ5A_21_8"/>
      <w:bookmarkStart w:id="1294" w:name="Tc_aYMxy8_W20OSwke1dANMCw_21_5"/>
      <w:bookmarkStart w:id="1295" w:name="Tc_faGi8tX_mEmVGNrNxbUksA_21_2"/>
      <w:bookmarkStart w:id="1296" w:name="Tc_dKq9MgnMdk29hTl-FzL8Jg_21_0"/>
      <w:bookmarkStart w:id="1297" w:name="Tc_uTQ7GdQKXkmWvSudxglbUA_20_0"/>
      <w:bookmarkStart w:id="1298" w:name="Tc_zz62Od4DVUaQgIxCnymAgw_19_9"/>
      <w:bookmarkStart w:id="1299" w:name="Tc_hxfRFewaqkSX1HeUAoPmwQ_19_6"/>
      <w:bookmarkStart w:id="1300" w:name="Tc_EPq2Ok65X0y6FrZfu5AvLQ_19_3"/>
      <w:bookmarkStart w:id="1301" w:name="Tc_vlHyFNyR60KCRGTmDxwZLw_19_0"/>
      <w:bookmarkStart w:id="1302" w:name="Tc_5cboaKpZt0iVJoHV7ljQOA_18_6"/>
      <w:bookmarkStart w:id="1303" w:name="Tc_tWHrKG4TbU6DKsSBrNca4g_18_0"/>
      <w:bookmarkStart w:id="1304" w:name="Tc_7y8rJ0aStkG9ObGNveivxw_17_0"/>
      <w:bookmarkStart w:id="1305" w:name="Tc_GV-dj75dIUyeXyoUr5WETQ_16_0"/>
      <w:bookmarkStart w:id="1306" w:name="Tc_5V5ytWPvBky3GzR_gCmL6w_15_0"/>
      <w:bookmarkStart w:id="1307" w:name="Tc_NdXU-6H4aEOjYyRrNcnjIA_14_0"/>
      <w:bookmarkStart w:id="1308" w:name="Tc_f_3X3_2nXEmo6-p7IlrjrQ_13_0"/>
      <w:bookmarkStart w:id="1309" w:name="Tc_6YkkSU7GNEScKrdQGsX-mw_12_0"/>
      <w:bookmarkStart w:id="1310" w:name="Tc__96oEohq10evHl0xFgbTbg_11_0"/>
      <w:bookmarkStart w:id="1311" w:name="Tc_1rNmQUl74kaWi1icMxliTQ_10_0"/>
      <w:bookmarkStart w:id="1312" w:name="Tc_2jpjLwaXQUSL2UOzwVVrrQ_9_0"/>
      <w:bookmarkStart w:id="1313" w:name="Tc_jNvL5ClQQkCvHHRUuiTgrQ_8_0"/>
      <w:bookmarkStart w:id="1314" w:name="Tc_KJs-RotZb0uW2i17m05p2g_7_0"/>
      <w:bookmarkStart w:id="1315" w:name="Tc_H-Pi2FrAekG4ipLvF3W4RQ_5_0"/>
      <w:bookmarkStart w:id="1316" w:name="Tc_93VccC-tsU6XaIcILPr6Mg_4_8"/>
      <w:bookmarkStart w:id="1317" w:name="Tc_bXl3ii5Vf0S_pxAFR3xeOA_4_5"/>
      <w:bookmarkStart w:id="1318" w:name="Tc_48DpQ2bikU6Oif1Wg-xe7w_4_2"/>
      <w:bookmarkStart w:id="1319" w:name="Tc_PU_JYbZz0kKuxrsHhJUHiw_4_0"/>
      <w:bookmarkStart w:id="1320" w:name="Tc_LSeDTUVDpUe3GghmTGguAw_3_0"/>
      <w:bookmarkStart w:id="1321" w:name="Tc_FPWzOGn-8US_c1JmVhN5_w_2_8"/>
      <w:bookmarkStart w:id="1322" w:name="Tc_6uOOYXCxgUKaTFdeVROM_A_2_5"/>
      <w:bookmarkStart w:id="1323" w:name="Tc_YdOfr_eUsU6Awx1cs6O9hA_2_2"/>
      <w:bookmarkStart w:id="1324" w:name="Tc_2nxA077FwU2146_9Xb6j3Q_1_2"/>
      <w:bookmarkStart w:id="1325" w:name="_09235c15_b7a1_47b2_b22e_dd1a243f9f3d"/>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r>
        <w:rPr/>
        <w:t>​</w:t>
      </w:r>
    </w:p>
    <w:tbl>
      <w:tblPr>
        <w:tblW w:w="10205" w:type="dxa"/>
        <w:jc w:val="left"/>
        <w:tblInd w:w="0" w:type="dxa"/>
        <w:tblLayout w:type="fixed"/>
        <w:tblCellMar>
          <w:top w:w="0" w:type="dxa"/>
          <w:left w:w="0" w:type="dxa"/>
          <w:bottom w:w="0" w:type="dxa"/>
          <w:right w:w="0" w:type="dxa"/>
        </w:tblCellMar>
      </w:tblPr>
      <w:tblGrid>
        <w:gridCol w:w="6383"/>
        <w:gridCol w:w="346"/>
        <w:gridCol w:w="211"/>
        <w:gridCol w:w="781"/>
        <w:gridCol w:w="346"/>
        <w:gridCol w:w="211"/>
        <w:gridCol w:w="781"/>
        <w:gridCol w:w="109"/>
        <w:gridCol w:w="211"/>
        <w:gridCol w:w="826"/>
      </w:tblGrid>
      <w:tr>
        <w:trPr/>
        <w:tc>
          <w:tcPr>
            <w:tcW w:w="6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053205" cy="175260"/>
                      <wp:effectExtent l="0" t="0" r="0" b="0"/>
                      <wp:wrapNone/>
                      <wp:docPr id="276" name="Frame276"/>
                      <a:graphic xmlns:a="http://schemas.openxmlformats.org/drawingml/2006/main">
                        <a:graphicData uri="http://schemas.microsoft.com/office/word/2010/wordprocessingShape">
                          <wps:wsp>
                            <wps:cNvSpPr txBox="1"/>
                            <wps:spPr>
                              <a:xfrm>
                                <a:off x="0" y="0"/>
                                <a:ext cx="405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19710" cy="175260"/>
                      <wp:effectExtent l="0" t="0" r="0" b="0"/>
                      <wp:wrapNone/>
                      <wp:docPr id="277" name="Frame2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95935" cy="175260"/>
                      <wp:effectExtent l="0" t="0" r="0" b="0"/>
                      <wp:wrapNone/>
                      <wp:docPr id="279" name="Frame27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9710" cy="175260"/>
                      <wp:effectExtent l="0" t="0" r="0" b="0"/>
                      <wp:wrapNone/>
                      <wp:docPr id="280" name="Frame2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95935" cy="175260"/>
                      <wp:effectExtent l="0" t="0" r="0" b="0"/>
                      <wp:wrapNone/>
                      <wp:docPr id="282" name="Frame2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24510" cy="175260"/>
                      <wp:effectExtent l="0" t="0" r="0" b="0"/>
                      <wp:wrapNone/>
                      <wp:docPr id="285" name="Frame2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August 1, 2026</w: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273,865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329,058</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72,104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151,432</w: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345,969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less intangible amortization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213,574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337,339</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18,552</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less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62,892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86,624</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24,884</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22,181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23,962</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12,597</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43,436</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investments activity,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4,927</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53,389</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383"/>
        <w:gridCol w:w="346"/>
        <w:gridCol w:w="211"/>
        <w:gridCol w:w="781"/>
        <w:gridCol w:w="346"/>
        <w:gridCol w:w="211"/>
        <w:gridCol w:w="781"/>
        <w:gridCol w:w="109"/>
        <w:gridCol w:w="211"/>
        <w:gridCol w:w="826"/>
      </w:tblGrid>
      <w:tr>
        <w:trPr/>
        <w:tc>
          <w:tcPr>
            <w:tcW w:w="6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053205" cy="175260"/>
                      <wp:effectExtent l="0" t="0" r="0" b="0"/>
                      <wp:wrapNone/>
                      <wp:docPr id="286" name="Frame286"/>
                      <a:graphic xmlns:a="http://schemas.openxmlformats.org/drawingml/2006/main">
                        <a:graphicData uri="http://schemas.microsoft.com/office/word/2010/wordprocessingShape">
                          <wps:wsp>
                            <wps:cNvSpPr txBox="1"/>
                            <wps:spPr>
                              <a:xfrm>
                                <a:off x="0" y="0"/>
                                <a:ext cx="4053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95935" cy="175260"/>
                      <wp:effectExtent l="0" t="0" r="0" b="0"/>
                      <wp:wrapNone/>
                      <wp:docPr id="289" name="Frame28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91" name="Frame2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95935" cy="175260"/>
                      <wp:effectExtent l="0" t="0" r="0" b="0"/>
                      <wp:wrapNone/>
                      <wp:docPr id="292" name="Frame2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9215" cy="175260"/>
                      <wp:effectExtent l="0" t="0" r="0" b="0"/>
                      <wp:wrapNone/>
                      <wp:docPr id="293" name="Frame2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94" name="Frame2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524510" cy="175260"/>
                      <wp:effectExtent l="0" t="0" r="0" b="0"/>
                      <wp:wrapNone/>
                      <wp:docPr id="295" name="Frame29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August 2, 2025</w: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240,744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313,533</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141,143</w:t>
            </w:r>
          </w:p>
        </w:tc>
      </w:tr>
      <w:tr>
        <w:trPr/>
        <w:tc>
          <w:tcPr>
            <w:tcW w:w="63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169,352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 less intangible amortization and other purchase accounting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147,132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322,179</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37,379</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less intangible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88,973</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amortization included in SG&amp;A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42,303</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33,114</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10,572</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33,107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79,682</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23,729</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investments activity,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r>
      <w:tr>
        <w:trPr/>
        <w:tc>
          <w:tcPr>
            <w:tcW w:w="63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11,429</w:t>
            </w:r>
          </w:p>
        </w:tc>
      </w:tr>
      <w:tr>
        <w:trPr/>
        <w:tc>
          <w:tcPr>
            <w:tcW w:w="63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56,556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26" w:name="Tc_19LjjlH52EOnMSk9ZAxwEA_3_11"/>
      <w:bookmarkStart w:id="1327" w:name="Tc_zNtqvBu3CkerXEjn844_RA_3_8"/>
      <w:bookmarkStart w:id="1328" w:name="Tc_iEqAfa2Bw06wYEnEkI_mRA_3_5"/>
      <w:bookmarkStart w:id="1329" w:name="Tc_ga1rNq9wPkSqO6PzwIiNZw_3_2"/>
      <w:bookmarkStart w:id="1330" w:name="Tc_VAoDrGF5PkyvbR3kPBP-Xw_3_0"/>
      <w:bookmarkStart w:id="1331" w:name="Tc_f23mLAD34EOQsVvpoKaBQw_2_11"/>
      <w:bookmarkStart w:id="1332" w:name="Tc_fMUORfMESkSNMpKmLTxoxw_2_8"/>
      <w:bookmarkStart w:id="1333" w:name="Tc_k4eM6BUKa0i_HwCPImANcw_2_5"/>
      <w:bookmarkStart w:id="1334" w:name="Tc_l1DBGVQhtUGlskDvRGVSUA_2_2"/>
      <w:bookmarkStart w:id="1335" w:name="Tc_CjVSYDZcF06Fgn8ndKd_iw_2_0"/>
      <w:bookmarkStart w:id="1336" w:name="Tc_uTfmmXfukUG9fjhjH7keSw_1_11"/>
      <w:bookmarkStart w:id="1337" w:name="Tc_avOqmK74Hk6sDUklegg9-w_1_8"/>
      <w:bookmarkStart w:id="1338" w:name="Tc_8uyiw57raEySwNkpSYaaeg_1_5"/>
      <w:bookmarkStart w:id="1339" w:name="Tc_g7Bx3HMywkOzSt1UZUwDow_1_2"/>
      <w:bookmarkStart w:id="1340" w:name="_fb43c2fe_f92a_4ce6_82cf_8736d55c10e5"/>
      <w:bookmarkStart w:id="1341" w:name="Tc_-KHoIRVdEEGVykjK2ABsWg_3_11"/>
      <w:bookmarkStart w:id="1342" w:name="Tc_TscK64rmh0WLP94iziyDqQ_3_8"/>
      <w:bookmarkStart w:id="1343" w:name="Tc_QdNoTqR1K0SVgnAPVyW54g_3_5"/>
      <w:bookmarkStart w:id="1344" w:name="Tc_N2MI_JYuCEyBoX7zJp6isw_3_2"/>
      <w:bookmarkStart w:id="1345" w:name="Tc_uEKqh7CUQEaAYeOOA83wfw_3_0"/>
      <w:bookmarkStart w:id="1346" w:name="Tc_PKHvVbzr8UmpJpJR8tLe8g_2_11"/>
      <w:bookmarkStart w:id="1347" w:name="Tc__ifpnbiFM0qRBWyaVhVD-w_2_8"/>
      <w:bookmarkStart w:id="1348" w:name="Tc_lw81zn-TeUGbXY6c7xSvvQ_2_5"/>
      <w:bookmarkStart w:id="1349" w:name="Tc_IeZPDf0Hc0-XsIZgsD3fxQ_2_2"/>
      <w:bookmarkStart w:id="1350" w:name="Tc_MukYXwlObEOLP33eH69mXw_2_0"/>
      <w:bookmarkStart w:id="1351" w:name="Tc_M1UCRShhtESnL7PAeYKypA_1_11"/>
      <w:bookmarkStart w:id="1352" w:name="Tc_3YfF1U2mOkOJEc7N17HShA_1_8"/>
      <w:bookmarkStart w:id="1353" w:name="Tc_hlK6mw4IEE-d_DXLRbb-og_1_5"/>
      <w:bookmarkStart w:id="1354" w:name="Tc_jwZA2HnyOEirxvYFrbWNEQ_1_2"/>
      <w:bookmarkStart w:id="1355" w:name="_044c4287_90ed_4899_a834_6b96975cd94e"/>
      <w:bookmarkStart w:id="1356" w:name="Tc_LBdTKcvKo0OQyjK3Rp87sg_11_5"/>
      <w:bookmarkStart w:id="1357" w:name="Tc_ycBtUfNT10iidf9OnQQyCw_11_2"/>
      <w:bookmarkStart w:id="1358" w:name="Tc_rQvoCXE9Tkq_-Ehjsfushw_11_0"/>
      <w:bookmarkStart w:id="1359" w:name="Tc_wdMesxJdWESDhl9MLR-fCg_10_0"/>
      <w:bookmarkStart w:id="1360" w:name="Tc_zIPguQkJ0UKYtnEBiPGKkg_9_3"/>
      <w:bookmarkStart w:id="1361" w:name="Tc_Wi6YaInUgECJfjXkozzQIA_9_0"/>
      <w:bookmarkStart w:id="1362" w:name="Tc_4JeAMbQjzEKgFJD5PzN0Fw_8_0"/>
      <w:bookmarkStart w:id="1363" w:name="Tc_bK6-ZwWNW0KVgJ4p94pCHA_7_0"/>
      <w:bookmarkStart w:id="1364" w:name="Tc_wAFQG3u6ME2ClDABew_eRg_6_0"/>
      <w:bookmarkStart w:id="1365" w:name="Tc_lIRTB2IO_0mKuU8kzIl5qQ_5_0"/>
      <w:bookmarkStart w:id="1366" w:name="Tc_FLcislk4D02rLMxkDkAZYw_4_5"/>
      <w:bookmarkStart w:id="1367" w:name="Tc_cQP8qjnGqUGXrkSa3Jiy8w_4_2"/>
      <w:bookmarkStart w:id="1368" w:name="Tc_2RoeQQry-UKhbck4tEoJkw_4_0"/>
      <w:bookmarkStart w:id="1369" w:name="Tc_Rs3FLbQyS0e8tRoceV45nQ_3_5"/>
      <w:bookmarkStart w:id="1370" w:name="Tc_q9QUgc8QFUyQIEdkP5uJbw_3_2"/>
      <w:bookmarkStart w:id="1371" w:name="Tc_cbIl1twMtkqsb9IWanQ5jA_2_5"/>
      <w:bookmarkStart w:id="1372" w:name="Tc_YBPYMIoU1UuajUcK-AyNEQ_2_2"/>
      <w:bookmarkStart w:id="1373" w:name="Tc__tJxd1yxkkKT4klsFPKpFQ_1_2"/>
      <w:bookmarkStart w:id="1374" w:name="_aaf95920_e508_48bf_bf96_9ec05541ae19"/>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r>
        <w:rPr>
          <w:rFonts w:ascii="Times New Roman;Times;serif" w:hAnsi="Times New Roman;Times;serif"/>
          <w:sz w:val="20"/>
        </w:rPr>
        <w:t>The following table (in thousands) provides a reconciliation from segment adjusted EBITDA to income before income taxes:</w:t>
      </w:r>
    </w:p>
    <w:tbl>
      <w:tblPr>
        <w:tblW w:w="7750" w:type="dxa"/>
        <w:jc w:val="left"/>
        <w:tblInd w:w="0" w:type="dxa"/>
        <w:tblLayout w:type="fixed"/>
        <w:tblCellMar>
          <w:top w:w="0" w:type="dxa"/>
          <w:left w:w="0" w:type="dxa"/>
          <w:bottom w:w="0" w:type="dxa"/>
          <w:right w:w="0" w:type="dxa"/>
        </w:tblCellMar>
      </w:tblPr>
      <w:tblGrid>
        <w:gridCol w:w="5236"/>
        <w:gridCol w:w="109"/>
        <w:gridCol w:w="211"/>
        <w:gridCol w:w="796"/>
        <w:gridCol w:w="346"/>
        <w:gridCol w:w="211"/>
        <w:gridCol w:w="841"/>
      </w:tblGrid>
      <w:tr>
        <w:trPr/>
        <w:tc>
          <w:tcPr>
            <w:tcW w:w="5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3324860" cy="175260"/>
                      <wp:effectExtent l="0" t="0" r="0" b="0"/>
                      <wp:wrapNone/>
                      <wp:docPr id="296" name="Frame296"/>
                      <a:graphic xmlns:a="http://schemas.openxmlformats.org/drawingml/2006/main">
                        <a:graphicData uri="http://schemas.microsoft.com/office/word/2010/wordprocessingShape">
                          <wps:wsp>
                            <wps:cNvSpPr txBox="1"/>
                            <wps:spPr>
                              <a:xfrm>
                                <a:off x="0" y="0"/>
                                <a:ext cx="3324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05460" cy="175260"/>
                      <wp:effectExtent l="0" t="0" r="0" b="0"/>
                      <wp:wrapNone/>
                      <wp:docPr id="299" name="Frame2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3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34035" cy="175260"/>
                      <wp:effectExtent l="0" t="0" r="0" b="0"/>
                      <wp:wrapNone/>
                      <wp:docPr id="302" name="Frame302"/>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52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53,389</w:t>
            </w:r>
          </w:p>
        </w:tc>
        <w:tc>
          <w:tcPr>
            <w:tcW w:w="34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56,556</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(90,254)</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(23,729)</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cloud computing arrangement implementation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(11,429)</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investments activity,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r>
      <w:tr>
        <w:trPr/>
        <w:tc>
          <w:tcPr>
            <w:tcW w:w="52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(17,415)</w:t>
            </w:r>
          </w:p>
        </w:tc>
      </w:tr>
      <w:tr>
        <w:trPr/>
        <w:tc>
          <w:tcPr>
            <w:tcW w:w="52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pStyle w:val="TextBody"/>
        <w:bidi w:val="0"/>
        <w:spacing w:before="0" w:after="0"/>
        <w:ind w:left="0" w:right="0" w:hanging="0"/>
        <w:jc w:val="left"/>
        <w:rPr/>
      </w:pPr>
      <w:r>
        <w:rPr/>
        <w:t>​</w:t>
      </w:r>
    </w:p>
    <w:tbl>
      <w:tblPr>
        <w:tblW w:w="7663" w:type="dxa"/>
        <w:jc w:val="left"/>
        <w:tblInd w:w="0" w:type="dxa"/>
        <w:tblLayout w:type="fixed"/>
        <w:tblCellMar>
          <w:top w:w="0" w:type="dxa"/>
          <w:left w:w="0" w:type="dxa"/>
          <w:bottom w:w="0" w:type="dxa"/>
          <w:right w:w="0" w:type="dxa"/>
        </w:tblCellMar>
      </w:tblPr>
      <w:tblGrid>
        <w:gridCol w:w="1831"/>
        <w:gridCol w:w="346"/>
        <w:gridCol w:w="211"/>
        <w:gridCol w:w="931"/>
        <w:gridCol w:w="346"/>
        <w:gridCol w:w="211"/>
        <w:gridCol w:w="931"/>
        <w:gridCol w:w="346"/>
        <w:gridCol w:w="211"/>
        <w:gridCol w:w="931"/>
        <w:gridCol w:w="109"/>
        <w:gridCol w:w="211"/>
        <w:gridCol w:w="1048"/>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162685" cy="175260"/>
                      <wp:effectExtent l="0" t="0" r="0" b="0"/>
                      <wp:wrapNone/>
                      <wp:docPr id="303" name="Frame303"/>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91185" cy="175260"/>
                      <wp:effectExtent l="0" t="0" r="0" b="0"/>
                      <wp:wrapNone/>
                      <wp:docPr id="306" name="Frame30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591185" cy="175260"/>
                      <wp:effectExtent l="0" t="0" r="0" b="0"/>
                      <wp:wrapNone/>
                      <wp:docPr id="309" name="Frame30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19710" cy="175260"/>
                      <wp:effectExtent l="0" t="0" r="0" b="0"/>
                      <wp:wrapNone/>
                      <wp:docPr id="310" name="Frame3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91185" cy="175260"/>
                      <wp:effectExtent l="0" t="0" r="0" b="0"/>
                      <wp:wrapNone/>
                      <wp:docPr id="312" name="Frame3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9215" cy="175260"/>
                      <wp:effectExtent l="0" t="0" r="0" b="0"/>
                      <wp:wrapNone/>
                      <wp:docPr id="313" name="Frame3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65480" cy="175260"/>
                      <wp:effectExtent l="0" t="0" r="0" b="0"/>
                      <wp:wrapNone/>
                      <wp:docPr id="315" name="Frame315"/>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August 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2,590,495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2,021,599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1,118,599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5,730,693</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April 30,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2,604,511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2,032,663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1,079,568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5,716,742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are summarized in the table below (in thousands):</w:t>
      </w:r>
    </w:p>
    <w:p>
      <w:pPr>
        <w:pStyle w:val="TextBody"/>
        <w:bidi w:val="0"/>
        <w:spacing w:before="0" w:after="0"/>
        <w:ind w:left="0" w:right="0" w:hanging="0"/>
        <w:jc w:val="left"/>
        <w:rPr/>
      </w:pPr>
      <w:r>
        <w:rPr/>
        <w:t>​</w:t>
      </w:r>
    </w:p>
    <w:tbl>
      <w:tblPr>
        <w:tblW w:w="7917" w:type="dxa"/>
        <w:jc w:val="left"/>
        <w:tblInd w:w="0" w:type="dxa"/>
        <w:tblLayout w:type="fixed"/>
        <w:tblCellMar>
          <w:top w:w="0" w:type="dxa"/>
          <w:left w:w="0" w:type="dxa"/>
          <w:bottom w:w="0" w:type="dxa"/>
          <w:right w:w="0" w:type="dxa"/>
        </w:tblCellMar>
      </w:tblPr>
      <w:tblGrid>
        <w:gridCol w:w="3121"/>
        <w:gridCol w:w="346"/>
        <w:gridCol w:w="211"/>
        <w:gridCol w:w="676"/>
        <w:gridCol w:w="346"/>
        <w:gridCol w:w="211"/>
        <w:gridCol w:w="676"/>
        <w:gridCol w:w="346"/>
        <w:gridCol w:w="235"/>
        <w:gridCol w:w="636"/>
        <w:gridCol w:w="109"/>
        <w:gridCol w:w="211"/>
        <w:gridCol w:w="793"/>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981835" cy="175260"/>
                      <wp:effectExtent l="0" t="0" r="0" b="0"/>
                      <wp:wrapNone/>
                      <wp:docPr id="316" name="Frame316"/>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9260" cy="175260"/>
                      <wp:effectExtent l="0" t="0" r="0" b="0"/>
                      <wp:wrapNone/>
                      <wp:docPr id="319" name="Frame31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9260" cy="175260"/>
                      <wp:effectExtent l="0" t="0" r="0" b="0"/>
                      <wp:wrapNone/>
                      <wp:docPr id="322" name="Frame3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49225" cy="175260"/>
                      <wp:effectExtent l="0" t="0" r="0" b="0"/>
                      <wp:wrapNone/>
                      <wp:docPr id="324" name="Frame324"/>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03860" cy="175260"/>
                      <wp:effectExtent l="0" t="0" r="0" b="0"/>
                      <wp:wrapNone/>
                      <wp:docPr id="325" name="Frame325"/>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03555" cy="175260"/>
                      <wp:effectExtent l="0" t="0" r="0" b="0"/>
                      <wp:wrapNone/>
                      <wp:docPr id="328" name="Frame32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346" w:type="dxa"/>
            <w:tcBorders/>
            <w:vAlign w:val="center"/>
          </w:tcPr>
          <w:p>
            <w:pPr>
              <w:pStyle w:val="TableContents"/>
              <w:bidi w:val="0"/>
              <w:spacing w:before="0" w:after="0"/>
              <w:ind w:left="0" w:right="0" w:hanging="0"/>
              <w:jc w:val="center"/>
              <w:rPr/>
            </w:pPr>
            <w:r>
              <w:rPr/>
              <w:t>  ​ ​ ​</w:t>
            </w:r>
          </w:p>
        </w:tc>
        <w:tc>
          <w:tcPr>
            <w:tcW w:w="8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1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August 1,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7,966</w:t>
            </w:r>
          </w:p>
        </w:tc>
        <w:tc>
          <w:tcPr>
            <w:tcW w:w="34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49,450</w:t>
            </w:r>
          </w:p>
        </w:tc>
      </w:tr>
      <w:tr>
        <w:trPr/>
        <w:tc>
          <w:tcPr>
            <w:tcW w:w="31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August 2,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16,437</w:t>
            </w:r>
          </w:p>
        </w:tc>
        <w:tc>
          <w:tcPr>
            <w:tcW w:w="34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32,068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 Subsequent Events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21, 2026, the Company closed on its purchase of its new campus facility in Southern California for $29,250,000. The building will be used for research, design, engineering, manufacturing and administrative functions.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75" w:name="ITEM2_MANAGEMENTSDISCUSSIONANDAN_021218"/>
      <w:bookmarkStart w:id="1376" w:name="_6c0a920f_1ca8_4661_a3e1_097834d377a7"/>
      <w:bookmarkEnd w:id="1375"/>
      <w:bookmarkEnd w:id="1376"/>
      <w:r>
        <w:rPr>
          <w:rFonts w:ascii="Times New Roman;Times;serif" w:hAnsi="Times New Roman;Times;serif"/>
          <w:b/>
          <w:i w:val="false"/>
          <w:caps w:val="false"/>
          <w:smallCaps w:val="false"/>
          <w:sz w:val="20"/>
        </w:rPr>
        <w:t>ITEM 2.</w:t>
      </w: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2026, as updated by our subsequent filings under the Securities and Exchange Act of 1934, as amended (the “Exchange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Unless required by law, we expressly disclaim any obligation to update publicly any forward-looking statements, whether as result of new information, future events or otherwise.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should be read in conjunction with the critical accounting estimates presented in our Annual Report on Form 10-K for the fiscal year ended April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months ended </w:t>
      </w:r>
      <w:r>
        <w:rPr>
          <w:rFonts w:ascii="Times New Roman;Times;serif" w:hAnsi="Times New Roman;Times;serif"/>
          <w:sz w:val="20"/>
          <w:shd w:fill="FFFFFF" w:val="clear"/>
        </w:rPr>
        <w:t xml:space="preserve">August 1, 2026 </w:t>
      </w:r>
      <w:r>
        <w:rPr>
          <w:rFonts w:ascii="Times New Roman;Times;serif" w:hAnsi="Times New Roman;Times;serif"/>
          <w:sz w:val="20"/>
        </w:rPr>
        <w:t>and August 2, 2025,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ASU 2014-09, Revenue from Contracts with Customers (“ASC 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and August 2, 2025, favorable and unfavorable cumulative catch-up adjustments included in revenue were as follows (in thousands):</w:t>
      </w:r>
    </w:p>
    <w:p>
      <w:pPr>
        <w:pStyle w:val="TextBody"/>
        <w:bidi w:val="0"/>
        <w:spacing w:before="0" w:after="0"/>
        <w:ind w:left="0" w:right="0" w:hanging="0"/>
        <w:jc w:val="left"/>
        <w:rPr/>
      </w:pPr>
      <w:r>
        <w:rPr/>
        <w:t>​</w:t>
      </w:r>
    </w:p>
    <w:tbl>
      <w:tblPr>
        <w:tblW w:w="6168" w:type="dxa"/>
        <w:jc w:val="left"/>
        <w:tblInd w:w="0" w:type="dxa"/>
        <w:tblLayout w:type="fixed"/>
        <w:tblCellMar>
          <w:top w:w="0" w:type="dxa"/>
          <w:left w:w="0" w:type="dxa"/>
          <w:bottom w:w="0" w:type="dxa"/>
          <w:right w:w="0" w:type="dxa"/>
        </w:tblCellMar>
      </w:tblPr>
      <w:tblGrid>
        <w:gridCol w:w="3376"/>
        <w:gridCol w:w="346"/>
        <w:gridCol w:w="211"/>
        <w:gridCol w:w="796"/>
        <w:gridCol w:w="346"/>
        <w:gridCol w:w="211"/>
        <w:gridCol w:w="691"/>
        <w:gridCol w:w="19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43760" cy="175260"/>
                      <wp:effectExtent l="0" t="0" r="0" b="0"/>
                      <wp:wrapNone/>
                      <wp:docPr id="329" name="Frame329"/>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33985" cy="175260"/>
                      <wp:effectExtent l="0" t="0" r="0" b="0"/>
                      <wp:wrapNone/>
                      <wp:docPr id="331" name="Frame3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05460" cy="175260"/>
                      <wp:effectExtent l="0" t="0" r="0" b="0"/>
                      <wp:wrapNone/>
                      <wp:docPr id="332" name="Frame3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3985" cy="175260"/>
                      <wp:effectExtent l="0" t="0" r="0" b="0"/>
                      <wp:wrapNone/>
                      <wp:docPr id="334" name="Frame3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438785" cy="175260"/>
                      <wp:effectExtent l="0" t="0" r="0" b="0"/>
                      <wp:wrapNone/>
                      <wp:docPr id="335" name="Frame33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21285" cy="175260"/>
                      <wp:effectExtent l="0" t="0" r="0" b="0"/>
                      <wp:wrapNone/>
                      <wp:docPr id="336" name="Frame33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favorable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unfavorable adjustments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(11,460)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(6,459)</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(unfavorable) favorable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three months ended August 1, 2026, favorable cumulative catch-up adjustments of $8.2 million were primarily due to cost adjustments on 7 contracts. During the three months ended August 1, 2026, we revised our estimates of the total expected costs to complete a Space and Directed Energy contract. The aggregate impact of these adjustments in contract estimates on revenue related to performance obligations satisfied or partially satisfied in previous periods was an increase to revenue of approximately $2.3 million. For the same period, unfavorable cumulative catch-up adjustments of $(11.5) million were primarily related to higher than expected costs on 34 contracts, which individually were not material.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August 2</w:t>
      </w:r>
      <w:r>
        <w:rPr>
          <w:rFonts w:ascii="Times New Roman;Times;serif" w:hAnsi="Times New Roman;Times;serif"/>
          <w:sz w:val="20"/>
          <w:shd w:fill="FFFFFF" w:val="clear"/>
        </w:rPr>
        <w:t>, 2025</w:t>
      </w:r>
      <w:r>
        <w:rPr>
          <w:rFonts w:ascii="Times New Roman;Times;serif" w:hAnsi="Times New Roman;Times;serif"/>
          <w:sz w:val="20"/>
        </w:rPr>
        <w:t>, favorable cumulative catch-up adjustments of $2.3 million were primarily due to cost adjustments on 13 contracts, which individually were not material. For the same period, unfavorable cumulative catch-up adjustments of $6.5 million were primarily related to higher than expected costs on 13 contracts, which individually were not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Goodwill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January 2026, a stop-work order was received on the Company’s Other Transaction Agreement for the delivery of BADGER phased array antenna systems to support Space Force’s SCAR program. We concluded that the stop-work order represented a trigger event that indicated the carrying value of the Space reporting unit exceeded its fair value. As a result, we updated our estimates of the long-term cash flows of the Space reporting unit to reflect the reduced revenue associated with the stop-work order as well as an increase in expected research and development and capital investments to achieve product commercialization, which is expected to result in expanded opportunities and improve long term product margins. The changes in estimates resulted in the recognition of a goodwill impairment charge of approximately $240 million in the Space reporting unit. Due to the trigger event, we also performed a recoverability test on the long-lived assets, inclusive of the intangibles, of the Space reporting unit for impairment in accordance with ASC 360 during the fiscal year ended April 30, 2026. The undiscounted cash flows exceeded the carrying value and no impairment was recorded. As of August 1, 2026, we have not identified any events or circumstances since the prior year’s annual impairment test that could trigger an impairment review.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Space reporting unit, included in the SCDE reportable segment, is considered to have an increased risk of failing future quantitative goodwill impairment tests as an impairment was recorded during the quarter ended January 31, 2026. The Company’s annual impairment test for the fiscal year ending April 30, 2027 will be performed during the fourth quarter of fiscal year 2027.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our fixed year end date of April 30, our first and fourth quarters each consist of approximately 13 weeks. The second and third quarters each consist of exactly 13 weeks. Our first three quarters end on a Saturday. Our 2027 fiscal year ends on April 30, 2027 and our fiscal quarters end on August 1, 2026, October 31, 2026 and January 30, 2027,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tables set forth our results of operations for the periods indicated (in thousands):</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Three Months Ended August 1, 2026 Compared to Three Months Ended August 2, 2025</w:t>
      </w:r>
    </w:p>
    <w:tbl>
      <w:tblPr>
        <w:tblW w:w="6678" w:type="dxa"/>
        <w:jc w:val="left"/>
        <w:tblInd w:w="0" w:type="dxa"/>
        <w:tblLayout w:type="fixed"/>
        <w:tblCellMar>
          <w:top w:w="0" w:type="dxa"/>
          <w:left w:w="0" w:type="dxa"/>
          <w:bottom w:w="0" w:type="dxa"/>
          <w:right w:w="0" w:type="dxa"/>
        </w:tblCellMar>
      </w:tblPr>
      <w:tblGrid>
        <w:gridCol w:w="3781"/>
        <w:gridCol w:w="346"/>
        <w:gridCol w:w="211"/>
        <w:gridCol w:w="796"/>
        <w:gridCol w:w="346"/>
        <w:gridCol w:w="211"/>
        <w:gridCol w:w="796"/>
        <w:gridCol w:w="191"/>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400935" cy="175260"/>
                      <wp:effectExtent l="0" t="0" r="0" b="0"/>
                      <wp:wrapNone/>
                      <wp:docPr id="337" name="Frame337"/>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05460" cy="175260"/>
                      <wp:effectExtent l="0" t="0" r="0" b="0"/>
                      <wp:wrapNone/>
                      <wp:docPr id="340" name="Frame3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19710" cy="175260"/>
                      <wp:effectExtent l="0" t="0" r="0" b="0"/>
                      <wp:wrapNone/>
                      <wp:docPr id="341" name="Frame3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05460" cy="175260"/>
                      <wp:effectExtent l="0" t="0" r="0" b="0"/>
                      <wp:wrapNone/>
                      <wp:docPr id="343" name="Frame3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21285" cy="175260"/>
                      <wp:effectExtent l="0" t="0" r="0" b="0"/>
                      <wp:wrapNone/>
                      <wp:docPr id="344" name="Frame34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91"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3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355,891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359,558</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95,118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111,508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131,276</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(10,871)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(69,272)</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(17,415)</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(84,326)</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from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 income,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w:t>
            </w:r>
          </w:p>
        </w:tc>
        <w:tc>
          <w:tcPr>
            <w:tcW w:w="191"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(67,370)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6133" w:type="dxa"/>
        <w:jc w:val="left"/>
        <w:tblInd w:w="0" w:type="dxa"/>
        <w:tblLayout w:type="fixed"/>
        <w:tblCellMar>
          <w:top w:w="0" w:type="dxa"/>
          <w:left w:w="0" w:type="dxa"/>
          <w:bottom w:w="0" w:type="dxa"/>
          <w:right w:w="0" w:type="dxa"/>
        </w:tblCellMar>
      </w:tblPr>
      <w:tblGrid>
        <w:gridCol w:w="2311"/>
        <w:gridCol w:w="346"/>
        <w:gridCol w:w="211"/>
        <w:gridCol w:w="78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467485" cy="175260"/>
                      <wp:effectExtent l="0" t="0" r="0" b="0"/>
                      <wp:wrapNone/>
                      <wp:docPr id="345" name="Frame34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19710" cy="175260"/>
                      <wp:effectExtent l="0" t="0" r="0" b="0"/>
                      <wp:wrapNone/>
                      <wp:docPr id="346"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7" name="Frame3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95935" cy="175260"/>
                      <wp:effectExtent l="0" t="0" r="0" b="0"/>
                      <wp:wrapNone/>
                      <wp:docPr id="348" name="Frame3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95935" cy="175260"/>
                      <wp:effectExtent l="0" t="0" r="0" b="0"/>
                      <wp:wrapNone/>
                      <wp:docPr id="351" name="Frame3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9215" cy="175260"/>
                      <wp:effectExtent l="0" t="0" r="0" b="0"/>
                      <wp:wrapNone/>
                      <wp:docPr id="352" name="Frame3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24510" cy="175260"/>
                      <wp:effectExtent l="0" t="0" r="0" b="0"/>
                      <wp:wrapNone/>
                      <wp:docPr id="354" name="Frame35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August 1, 2026</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480,490</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53,389</w:t>
            </w:r>
          </w:p>
        </w:tc>
      </w:tr>
    </w:tbl>
    <w:p>
      <w:pPr>
        <w:pStyle w:val="TextBody"/>
        <w:bidi w:val="0"/>
        <w:spacing w:before="0" w:after="0"/>
        <w:ind w:left="0" w:right="0" w:hanging="0"/>
        <w:jc w:val="left"/>
        <w:rPr/>
      </w:pPr>
      <w:r>
        <w:rPr/>
        <w:t>​</w:t>
      </w:r>
    </w:p>
    <w:tbl>
      <w:tblPr>
        <w:tblW w:w="6133" w:type="dxa"/>
        <w:jc w:val="left"/>
        <w:tblInd w:w="0" w:type="dxa"/>
        <w:tblLayout w:type="fixed"/>
        <w:tblCellMar>
          <w:top w:w="0" w:type="dxa"/>
          <w:left w:w="0" w:type="dxa"/>
          <w:bottom w:w="0" w:type="dxa"/>
          <w:right w:w="0" w:type="dxa"/>
        </w:tblCellMar>
      </w:tblPr>
      <w:tblGrid>
        <w:gridCol w:w="2311"/>
        <w:gridCol w:w="346"/>
        <w:gridCol w:w="211"/>
        <w:gridCol w:w="78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467485" cy="175260"/>
                      <wp:effectExtent l="0" t="0" r="0" b="0"/>
                      <wp:wrapNone/>
                      <wp:docPr id="355" name="Frame35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33985" cy="175260"/>
                      <wp:effectExtent l="0" t="0" r="0" b="0"/>
                      <wp:wrapNone/>
                      <wp:docPr id="357" name="Frame3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95935" cy="175260"/>
                      <wp:effectExtent l="0" t="0" r="0" b="0"/>
                      <wp:wrapNone/>
                      <wp:docPr id="358" name="Frame3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19710" cy="175260"/>
                      <wp:effectExtent l="0" t="0" r="0" b="0"/>
                      <wp:wrapNone/>
                      <wp:docPr id="359" name="Frame3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33985" cy="175260"/>
                      <wp:effectExtent l="0" t="0" r="0" b="0"/>
                      <wp:wrapNone/>
                      <wp:docPr id="360" name="Frame3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495935" cy="175260"/>
                      <wp:effectExtent l="0" t="0" r="0" b="0"/>
                      <wp:wrapNone/>
                      <wp:docPr id="361" name="Frame3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33985" cy="175260"/>
                      <wp:effectExtent l="0" t="0" r="0" b="0"/>
                      <wp:wrapNone/>
                      <wp:docPr id="363" name="Frame3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24510" cy="175260"/>
                      <wp:effectExtent l="0" t="0" r="0" b="0"/>
                      <wp:wrapNone/>
                      <wp:docPr id="364" name="Frame364"/>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7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August 2, 2025</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AxS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SCDE</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285,324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169,352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454,676</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56,556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Revenue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was $480.5 million, as compared to $454.7 million for the three months ended August 2, 2025, representing an increase of $25.8 million, or 6%. The increase in revenue was due to an increase in product revenue of $15.5 million and an increase in service revenue of $10.3 million. The increase in product revenue was driven by an increase in UAS products of $39.1 million due to an increase in the global demand for UAS products, partially offset by a decrease in Space and Directed Energy product sales of $18.1 million primarily related to the termination of the SCAR program in the prior year and a decrease in Precision Strike and Defense Systems (“PSDS”) of $6.8 million. The decrease in PSDS was driven by decrease of $56.9 million of Switchblade product revenue due to order delays, partially offset by revenue from the ESAero acquisition of $41.8 million and increased demand for defense systems of $18.5 million. The increase in service revenue was primarily driven by increases in AxS service customer funded R&amp;D services of $34.1 million, partially offset by decreases to Cyber and Mission Solutions (“CMS”) service revenue of $18.3 million driven by reduced scope on certain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Cost of Sales. </w:t>
      </w:r>
      <w:r>
        <w:rPr>
          <w:rFonts w:ascii="Times New Roman;Times;serif" w:hAnsi="Times New Roman;Times;serif"/>
          <w:sz w:val="20"/>
        </w:rPr>
        <w:t>Cost of sales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 xml:space="preserve">was $355.9 million, as compared to $359.6 million for the three months ended August 2, 2025, representing a decrease of $3.7 million, or 1%. The decrease in cost of sales was a result of a decrease in product cost of sales of $17.1 million, partially offset by an increase in service cost of sales of $13.4 million. The decrease in product cost of sales was primarily due to a shift in mix of product sales of approximately $28 million, partially offset by approximately $11 million due to the increase in product revenue. The increase in service costs of sales was primarily due to an increase of approximately $9 million due to the increase in sales volume and approximately $4 million due to shift in mix of services provided. Cost of sales for the three months 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 2026</w:t>
      </w:r>
      <w:r>
        <w:rPr>
          <w:rFonts w:ascii="Times New Roman;Times;serif" w:hAnsi="Times New Roman;Times;serif"/>
          <w:sz w:val="20"/>
          <w:shd w:fill="FFFFFF" w:val="clear"/>
        </w:rPr>
        <w:t xml:space="preserve"> </w:t>
      </w:r>
      <w:r>
        <w:rPr>
          <w:rFonts w:ascii="Times New Roman;Times;serif" w:hAnsi="Times New Roman;Times;serif"/>
          <w:sz w:val="20"/>
        </w:rPr>
        <w:t>included $18.6 million of intangible amortization and other related non-cash purchase accounting expenses as compared to $37.4 million for the three months ended August 2, 2025. As a percentage of revenue, cost of sales decreased from 79% to 74% primarily due to decreased amortization and other non-cash purchase accounting expenses, resulting in gross margin increasing from 21% to 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Gross Margin. </w:t>
      </w:r>
      <w:r>
        <w:rPr>
          <w:rFonts w:ascii="Times New Roman;Times;serif" w:hAnsi="Times New Roman;Times;serif"/>
          <w:sz w:val="20"/>
        </w:rPr>
        <w:t>Gross margin is equal to revenue minus cost of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b/>
          <w:sz w:val="20"/>
        </w:rPr>
        <w:t>. </w:t>
      </w:r>
      <w:r>
        <w:rPr>
          <w:rFonts w:ascii="Times New Roman;Times;serif" w:hAnsi="Times New Roman;Times;serif"/>
          <w:sz w:val="20"/>
        </w:rPr>
        <w:t>SG&amp;A expense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was $111.5 million, or 23% of revenue, as compared to SG&amp;A expense of $131.3 million, or 29% of revenue, for the three months ended August 2, 2025. The decrease in SG&amp;A expense was primarily due to a decrease of $17.4 million of intangible amortization expense and a decrease of $22.5 million in acquisition related expenses resulting from the prior year acquisition of BlueHalo, partially offset by an increase of approximately $9 million of employee related expenses related to increases in headcount and an increase of $4.4 million of bad debt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R&amp;D expense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was $24.0 million, or 5% of revenue, as compared to R&amp;D expense of $33.1 million, or 7% of revenue, for the three months ended August 2, 2025. The decrease was primarily related to timing of planned expenditures. R&amp;D expense is expected to continue to be 7% to 9% of revenue for fiscal year ended April 30, 2027.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Interest Income (Expense), net. </w:t>
      </w:r>
      <w:r>
        <w:rPr>
          <w:rFonts w:ascii="Times New Roman;Times;serif" w:hAnsi="Times New Roman;Times;serif"/>
          <w:sz w:val="20"/>
        </w:rPr>
        <w:t>Interest income, net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was $4.1 million compared to interest expense, net of $17.4 million for the three months ended August 2, 2025. The increase in interest income was due to a combination of higher cash and investment balances and lower interest bearing debt balances. The decrease in interest expense related to the Fourth Amendment Term Loan Facility and Revolver Facility obtained on May 1, 2025 in conjunction with the BlueHalo acquisition and the unamortized debt issuance costs allocated to the Fourth Amendment Term Loan Facility of $6.7 million, which were expensed upon repayment of the Fourth Amendment Term Loan Facility in July using the proceeds from the Notes and common stock issuances in July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(Expense) Income, net.</w:t>
      </w:r>
      <w:r>
        <w:rPr>
          <w:rFonts w:ascii="Times New Roman;Times;serif" w:hAnsi="Times New Roman;Times;serif"/>
          <w:sz w:val="20"/>
        </w:rPr>
        <w:t> Other expense, net,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was $0.6 million as compared to other income, net of $2.4 million for the three months ended August 2, 2025. The decrease in other income, net was driven by unrealized gains in equity security investments for the three months ended August 2, 2025. The equity security investments were subsequently sold during the fiscal year ended April 30,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Benefit from Income Taxes. </w:t>
      </w:r>
      <w:r>
        <w:rPr>
          <w:rFonts w:ascii="Times New Roman;Times;serif" w:hAnsi="Times New Roman;Times;serif"/>
          <w:sz w:val="20"/>
        </w:rPr>
        <w:t>Our effective income tax rate was 5.4% for the three months ended August 1, 2026, as compared to 18.0% for the three months ended August 2, 2025. The change in our effective income tax rate was primarily attributable to a reduction in loss before income taxes and an increase in Section 162(m) limitation on executive compensation, partially offset by an increase in federal R&amp;D credits. The effective income tax rate for the three months ended August 1, 2026, was primarily attributable to the current quarter loss before income taxes relative to the projected full year income before income taxes, state valuation allowances, Section 162(m) limitation on executive compensation, partially offset by federal R&amp;D credits.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Equity Method Investment Income, net of Tax. </w:t>
      </w:r>
      <w:r>
        <w:rPr>
          <w:rFonts w:ascii="Times New Roman;Times;serif" w:hAnsi="Times New Roman;Times;serif"/>
          <w:sz w:val="20"/>
        </w:rPr>
        <w:t>Equity method investment income, net of tax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was $1.9 million as compared $1.8 million for the three months ended August 2, 2025.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Autonomous Systems</w:t>
      </w:r>
    </w:p>
    <w:tbl>
      <w:tblPr>
        <w:tblW w:w="4795" w:type="dxa"/>
        <w:jc w:val="left"/>
        <w:tblInd w:w="0" w:type="dxa"/>
        <w:tblLayout w:type="fixed"/>
        <w:tblCellMar>
          <w:top w:w="0" w:type="dxa"/>
          <w:left w:w="0" w:type="dxa"/>
          <w:bottom w:w="0" w:type="dxa"/>
          <w:right w:w="0" w:type="dxa"/>
        </w:tblCellMar>
      </w:tblPr>
      <w:tblGrid>
        <w:gridCol w:w="231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467485" cy="175260"/>
                      <wp:effectExtent l="0" t="0" r="0" b="0"/>
                      <wp:wrapNone/>
                      <wp:docPr id="365" name="Frame365"/>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495935" cy="175260"/>
                      <wp:effectExtent l="0" t="0" r="0" b="0"/>
                      <wp:wrapNone/>
                      <wp:docPr id="368" name="Frame3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9215" cy="175260"/>
                      <wp:effectExtent l="0" t="0" r="0" b="0"/>
                      <wp:wrapNone/>
                      <wp:docPr id="369" name="Frame3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33985" cy="175260"/>
                      <wp:effectExtent l="0" t="0" r="0" b="0"/>
                      <wp:wrapNone/>
                      <wp:docPr id="370" name="Frame3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24510" cy="175260"/>
                      <wp:effectExtent l="0" t="0" r="0" b="0"/>
                      <wp:wrapNone/>
                      <wp:docPr id="371" name="Frame371"/>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285,324</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62,285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52,760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AxS Revenue.</w:t>
      </w:r>
      <w:r>
        <w:rPr>
          <w:rFonts w:ascii="Times New Roman;Times;serif" w:hAnsi="Times New Roman;Times;serif"/>
          <w:sz w:val="20"/>
        </w:rPr>
        <w:t xml:space="preserve"> AxS revenue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 xml:space="preserve">was $346.0 million, compared to $285.3 million for the three months ended August 2, 2025, representing an increase of $60.7 million, or 21%. The increase in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was due to an increase in product revenue of $33.2 million and an increase in service revenue of $27.5 million. The increase in product revenue was driven by an increase in UAS products of $39.1 million due to an increase in the global demand for UAS products, partially offset by a decrease in PSDS of $6.8 million. The decrease in PSDS was driven by decrease of $56.9 million of Switchblade product revenue due to order delays, partially offset by revenue from the ESAero acquisition of $41.8 million and increased demand for defense systems of $18.5 million. The increase in service revenue was primarily driven by increases in AxS customer funded R&amp;D services of $34.1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AxS Segment Adjusted EBITDA.</w:t>
      </w:r>
      <w:r>
        <w:rPr>
          <w:rFonts w:ascii="Times New Roman;Times;serif" w:hAnsi="Times New Roman;Times;serif"/>
          <w:sz w:val="20"/>
        </w:rPr>
        <w:t xml:space="preserve"> AxS segment adjusted EBITDA for the three months August 1, 2026</w:t>
      </w:r>
      <w:r>
        <w:rPr>
          <w:rFonts w:ascii="Times New Roman;Times;serif" w:hAnsi="Times New Roman;Times;serif"/>
          <w:sz w:val="20"/>
          <w:shd w:fill="FFFFFF" w:val="clear"/>
        </w:rPr>
        <w:t xml:space="preserve"> </w:t>
      </w:r>
      <w:r>
        <w:rPr>
          <w:rFonts w:ascii="Times New Roman;Times;serif" w:hAnsi="Times New Roman;Times;serif"/>
          <w:sz w:val="20"/>
        </w:rPr>
        <w:t>was $62.3 million, as compared to $52.8 million for the three months ended August 2, 2025, representing an increase of $9.5 million, or 18%. The increase in AxS segment adjusted EBITDA was primarily due to an increase in revenue of $60.7 million and a decrease in R&amp;D of $7.6 million, partially offset by an increase in cost of sales of $25.2 million and a decrease in adjusted EBITDA add backs of $34.6 million for depreciation, amortization, cloud computing related amortization, stock-based compensation, and acquisition related expenses. The increase in cost of sales was primarily due to an increase of approximately $37 million due to the increase in sales volume, approximately $1 million due to mix shift to a higher proportion of services, partially offset by a decrease of approximately $13 million in intangible amortization expense.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Space, Cyber and Directed Energy</w:t>
      </w:r>
    </w:p>
    <w:p>
      <w:pPr>
        <w:pStyle w:val="TextBody"/>
        <w:bidi w:val="0"/>
        <w:spacing w:before="0" w:after="0"/>
        <w:ind w:left="0" w:right="0" w:hanging="0"/>
        <w:jc w:val="left"/>
        <w:rPr/>
      </w:pPr>
      <w:r>
        <w:rPr/>
        <w:t>​</w:t>
      </w:r>
    </w:p>
    <w:tbl>
      <w:tblPr>
        <w:tblW w:w="4795" w:type="dxa"/>
        <w:jc w:val="left"/>
        <w:tblInd w:w="0" w:type="dxa"/>
        <w:tblLayout w:type="fixed"/>
        <w:tblCellMar>
          <w:top w:w="0" w:type="dxa"/>
          <w:left w:w="0" w:type="dxa"/>
          <w:bottom w:w="0" w:type="dxa"/>
          <w:right w:w="0" w:type="dxa"/>
        </w:tblCellMar>
      </w:tblPr>
      <w:tblGrid>
        <w:gridCol w:w="2311"/>
        <w:gridCol w:w="346"/>
        <w:gridCol w:w="211"/>
        <w:gridCol w:w="781"/>
        <w:gridCol w:w="109"/>
        <w:gridCol w:w="211"/>
        <w:gridCol w:w="82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467485" cy="175260"/>
                      <wp:effectExtent l="0" t="0" r="0" b="0"/>
                      <wp:wrapNone/>
                      <wp:docPr id="372" name="Frame37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95935" cy="175260"/>
                      <wp:effectExtent l="0" t="0" r="0" b="0"/>
                      <wp:wrapNone/>
                      <wp:docPr id="375" name="Frame37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9215" cy="175260"/>
                      <wp:effectExtent l="0" t="0" r="0" b="0"/>
                      <wp:wrapNone/>
                      <wp:docPr id="376" name="Frame3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524510" cy="175260"/>
                      <wp:effectExtent l="0" t="0" r="0" b="0"/>
                      <wp:wrapNone/>
                      <wp:docPr id="378" name="Frame37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134,521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169,352</w:t>
            </w:r>
          </w:p>
        </w:tc>
      </w:tr>
      <w:tr>
        <w:trPr/>
        <w:tc>
          <w:tcPr>
            <w:tcW w:w="23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EBITDA</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3,796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SCDE Revenue.</w:t>
      </w:r>
      <w:r>
        <w:rPr>
          <w:rFonts w:ascii="Times New Roman;Times;serif" w:hAnsi="Times New Roman;Times;serif"/>
          <w:sz w:val="20"/>
        </w:rPr>
        <w:t xml:space="preserve"> SCDE Revenue for the three months ended August 1, 2026</w:t>
      </w:r>
      <w:r>
        <w:rPr>
          <w:rFonts w:ascii="Times New Roman;Times;serif" w:hAnsi="Times New Roman;Times;serif"/>
          <w:sz w:val="20"/>
          <w:shd w:fill="FFFFFF" w:val="clear"/>
        </w:rPr>
        <w:t xml:space="preserve"> </w:t>
      </w:r>
      <w:r>
        <w:rPr>
          <w:rFonts w:ascii="Times New Roman;Times;serif" w:hAnsi="Times New Roman;Times;serif"/>
          <w:sz w:val="20"/>
        </w:rPr>
        <w:t>was $134.5 million, as compared to $169.4 million for the three months ended August 2, 2025, representing a decrease of $34.9 million, or 21%. The decrease in revenue was due to a decrease in product revenue of $17.6 million and a decrease in service revenue of $17.3 million. The decrease in product revenue was driven by a decrease in Space and Directed Energy product sales of $18.1 million primarily due to the termination of the SCAR program in the prior year. The decrease in service revenue was driven by a decrease to CMS service revenue of $18.3 million driven by reduced scope on certain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SCDE Segment Adjusted EBITDA.</w:t>
      </w:r>
      <w:r>
        <w:rPr>
          <w:rFonts w:ascii="Times New Roman;Times;serif" w:hAnsi="Times New Roman;Times;serif"/>
          <w:sz w:val="20"/>
        </w:rPr>
        <w:t xml:space="preserve"> SCDE segment adjusted EBITDA for the three months August 1, 2026</w:t>
      </w:r>
      <w:r>
        <w:rPr>
          <w:rFonts w:ascii="Times New Roman;Times;serif" w:hAnsi="Times New Roman;Times;serif"/>
          <w:sz w:val="20"/>
          <w:shd w:fill="FFFFFF" w:val="clear"/>
        </w:rPr>
        <w:t xml:space="preserve"> </w:t>
      </w:r>
      <w:r>
        <w:rPr>
          <w:rFonts w:ascii="Times New Roman;Times;serif" w:hAnsi="Times New Roman;Times;serif"/>
          <w:sz w:val="20"/>
        </w:rPr>
        <w:t>was $(8.9) million, as compared to $3.8 million for the three months ended August 2, 2025, representing a decrease of $12.7 million, or 334%. The decrease in SCDE segment adjusted EBITDA was primarily due to a decrease in revenue of $34.9 million and a decrease in adjusted EBITDA add backs of $26.6 million for depreciation, amortization, cloud computing related amortization, stock-based compensation, and acquisition related expenses, partially offset by a decrease in cost of sales of $28.7 million, a decrease in SG&amp;A of $19.0 million and a decrease in R&amp;D of $1.6 million. The decrease in cost of sales was primarily due to a decrease of approximately $30 million due to the decrease in sales volume and approximately $5 million decrease in intangible amortization expense, partially offset by approximately $7 million due to mix shift to a higher proportion of lower margin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Consistent with ASC 606, we define funded backlog as remaining performance obligations under firm orders for which funding is currently appropriated to us under a customer contract. As of August 1, 2026, our funded backlog was approximately $1,457.8 million, as compared to $1,183.0 million as of April 30, 2026.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to our funded backlog, we also had unfunded backlog of $1,366.5 million as of August 1, 2026. Unfunded backlog does not meet the definition of a performance obligation under ASC 606. We define unfunded backlog as the total remaining value of awarded Cost Plus and FFP contracts with incremental funding. Unfunded backlog does not obligate the customer to purchase goods or services. There can be no assurance that unfunded backlog will result in any orders in any particular period,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Additionally, all U.S. government contracts included in backlog, whether or not they are funded, may be terminated at the convenience of the U.S. government.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May 2025, in connection with the consummation of the BlueHalo acquisition, the Company entered into the Fourth Amendment to Credit Agreement with BofA NA, the administrative agent and the swingline lender, JPM, U.S. Bank, and Citibank. The Amended Credit Agreement provides for an aggregate $700.0 million term loan and an aggregate $350.0 million revolving credit facility. Upon effectiveness of the Amended Credit Agreement, we drew $225.0 million from the amended Revolving Facility and the full $700.0 million of the Fourth Amendment Term Loan Facility. The proceeds from the Fourth Amendment Term Loan Facility and the Revolving Facility were used to repay certain outstanding indebtedness of BlueHalo and to pay for certain related transaction costs. In June 2025, we drew an additional $10.0 million under the Revolving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we issued 4,057,460 shares of common stock at a public offering price of $248.00 per share and issued $747,500,000 aggregate principal amount of 0% convertible senior notes due 2030. The aggregate net proceeds from the Common Stock Offering and the Notes Offering, after deducting underwriting discounts and debt and equity issuance costs, was approximately $1.70 billion. The Company used approximately $965.3 million of the net proceeds from the Common Stock Offering and the Notes Offering to repay indebtedness under the Fourth Amendment Term Loan Facility and outstanding borrowings under the Revolving Facility. The remainder can and has been used for general corporate purposes, including to increase manufacturing capacity.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ability to borrow under the Revolving Facility is reduced by outstanding letters of credit of $13.0 million as of August 1, 2026. As of August 1, 2026, approximately $337.0 million was available under the Revolving Facility. Refer to Note 9—Debt to our unaudited condensed consolidated financial statements in Part I, Item 1 of this Quarterly Report on Form 10-Q for further details. In addition, Telerob has a line of credit of €9.0 million ($10.5 million) available for issuing letters of credit of which €2.2 million ($2.6 million) was outstanding as of August 1,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anticipate funding our normal recurring trade payables, accrued expenses, ongoing R&amp;D costs and obligations under the Credit Facilities through our existing working capital and funds provided by operating activities including those provided by our acquisitions.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and future obligations related to the acquisition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is party to receivables purchase agreement with Citibank, N.A., with an aggregate capacity of $100 million. As of August 1, 2026, no receivables have been sold, proceeds collected, or purchase discount fees incurred.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primary recurring liquidity needs are for financing working capital, investing in capital expenditures, supporting product development efforts, introducing new products and enhancing existing products, marketing acceptance and adoption of our products and services, and possible acquisitions of entities or strategic assets.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the Amended Credit Agreement. In addition, we may also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need to seek additional equity funding or debt financing if we become a party to any agreement or letter of intent for potential investments in, or acquisitions of, businesses, services or technologies.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working capital requirements vary by contract type. On Cost Plus and T&amp;M contracts, we typically bill our incurred costs and fees monthly as work progresses, and therefore working capital investment is minimal. On FFP contracts, we typically are paid as we deliver products, and working capital is needed to fund labor and expenses incurred during the lead time from contract award until contract deliveries begin. Certain contracts have negotiated progress payments, which facilitates billing and collection as work is completed.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August 2026, we closed on our purchase of a new campus facility in Southern California for $29.3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following table provides our cash flow data for the three months ended August 1, 2026 and </w:t>
      </w:r>
      <w:r>
        <w:rPr>
          <w:rFonts w:ascii="Times New Roman;Times;serif" w:hAnsi="Times New Roman;Times;serif"/>
          <w:sz w:val="20"/>
          <w:shd w:fill="FFFFFF" w:val="clear"/>
        </w:rPr>
        <w:t xml:space="preserve">January 25, 2025 </w:t>
      </w:r>
      <w:r>
        <w:rPr>
          <w:rFonts w:ascii="Times New Roman;Times;serif" w:hAnsi="Times New Roman;Times;serif"/>
          <w:sz w:val="20"/>
        </w:rPr>
        <w:t>(in thousands):</w:t>
      </w:r>
    </w:p>
    <w:p>
      <w:pPr>
        <w:pStyle w:val="TextBody"/>
        <w:bidi w:val="0"/>
        <w:spacing w:before="0" w:after="0"/>
        <w:ind w:left="0" w:right="0" w:hanging="0"/>
        <w:jc w:val="left"/>
        <w:rPr/>
      </w:pPr>
      <w:r>
        <w:rPr/>
        <w:t>​</w:t>
      </w:r>
    </w:p>
    <w:tbl>
      <w:tblPr>
        <w:tblW w:w="7353" w:type="dxa"/>
        <w:jc w:val="left"/>
        <w:tblInd w:w="0" w:type="dxa"/>
        <w:tblLayout w:type="fixed"/>
        <w:tblCellMar>
          <w:top w:w="0" w:type="dxa"/>
          <w:left w:w="0" w:type="dxa"/>
          <w:bottom w:w="0" w:type="dxa"/>
          <w:right w:w="0" w:type="dxa"/>
        </w:tblCellMar>
      </w:tblPr>
      <w:tblGrid>
        <w:gridCol w:w="4216"/>
        <w:gridCol w:w="346"/>
        <w:gridCol w:w="211"/>
        <w:gridCol w:w="901"/>
        <w:gridCol w:w="346"/>
        <w:gridCol w:w="211"/>
        <w:gridCol w:w="931"/>
        <w:gridCol w:w="19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677160" cy="175260"/>
                      <wp:effectExtent l="0" t="0" r="0" b="0"/>
                      <wp:wrapNone/>
                      <wp:docPr id="379" name="Frame379"/>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72135" cy="175260"/>
                      <wp:effectExtent l="0" t="0" r="0" b="0"/>
                      <wp:wrapNone/>
                      <wp:docPr id="382" name="Frame38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91185" cy="175260"/>
                      <wp:effectExtent l="0" t="0" r="0" b="0"/>
                      <wp:wrapNone/>
                      <wp:docPr id="385" name="Frame38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21285" cy="175260"/>
                      <wp:effectExtent l="0" t="0" r="0" b="0"/>
                      <wp:wrapNone/>
                      <wp:docPr id="386" name="Frame38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2,</w:t>
            </w:r>
          </w:p>
        </w:tc>
        <w:tc>
          <w:tcPr>
            <w:tcW w:w="191"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center"/>
              <w:rPr/>
            </w:pPr>
            <w:r>
              <w:rPr/>
              <w:t> </w:t>
            </w:r>
          </w:p>
        </w:tc>
      </w:tr>
      <w:tr>
        <w:trPr/>
        <w:tc>
          <w:tcPr>
            <w:tcW w:w="735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91"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(123,726)</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(108,236)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(876,648)</w:t>
            </w:r>
          </w:p>
        </w:tc>
        <w:tc>
          <w:tcPr>
            <w:tcW w:w="191" w:type="dxa"/>
            <w:tcBorders/>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1,645,443</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Provided by (Used in) Operating Activities. </w:t>
      </w:r>
      <w:r>
        <w:rPr>
          <w:rFonts w:ascii="Times New Roman;Times;serif" w:hAnsi="Times New Roman;Times;serif"/>
          <w:sz w:val="20"/>
        </w:rPr>
        <w:t xml:space="preserve">Net cash provided by operating activities for the three months ended August 1, 2026 increased by $137.2 million to $13.5 million, as compared to $(123.7) million for the three months ended </w:t>
      </w:r>
      <w:r>
        <w:rPr>
          <w:rFonts w:ascii="Times New Roman;Times;serif" w:hAnsi="Times New Roman;Times;serif"/>
          <w:sz w:val="20"/>
          <w:shd w:fill="FFFFFF" w:val="clear"/>
        </w:rPr>
        <w:t>August 2, 2025</w:t>
      </w:r>
      <w:r>
        <w:rPr>
          <w:rFonts w:ascii="Times New Roman;Times;serif" w:hAnsi="Times New Roman;Times;serif"/>
          <w:sz w:val="20"/>
        </w:rPr>
        <w:t>. The increase in net cash used in operating activities was primarily due to an increase in cash as a result of changes in operating assets and liabilities of $112.7 million, largely related to decreases in accounts receivable and increases in accounts payable, partially offset by increases in unbilled receivables and retentions due to year over year timing differences. The increase in cash provided by operating activities was also driven by a decrease in net loss of $62.3 million, partially offset by a decrease in depreciation and amortization of $34.2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Used in Investing Activities. </w:t>
      </w:r>
      <w:r>
        <w:rPr>
          <w:rFonts w:ascii="Times New Roman;Times;serif" w:hAnsi="Times New Roman;Times;serif"/>
          <w:sz w:val="20"/>
        </w:rPr>
        <w:t xml:space="preserve">Net cash used in investing activities decreased by $768.4 million to $(108.2) million for the three months ended August 1, 2026, as compared to $(876.6) million for the three months ended </w:t>
      </w:r>
      <w:r>
        <w:rPr>
          <w:rFonts w:ascii="Times New Roman;Times;serif" w:hAnsi="Times New Roman;Times;serif"/>
          <w:sz w:val="20"/>
          <w:shd w:fill="FFFFFF" w:val="clear"/>
        </w:rPr>
        <w:t>August 2, 2025</w:t>
      </w:r>
      <w:r>
        <w:rPr>
          <w:rFonts w:ascii="Times New Roman;Times;serif" w:hAnsi="Times New Roman;Times;serif"/>
          <w:sz w:val="20"/>
        </w:rPr>
        <w:t>. The decrease in net cash used in investing activities was primarily due to the cash consideration for the acquisition of BlueHalo, net of cash acquired of $844.6 million in the prior year, partially offset by the net purchase of available-for-sale securities of $58.8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(Used in) Provided by Financing Activities. </w:t>
      </w:r>
      <w:r>
        <w:rPr>
          <w:rFonts w:ascii="Times New Roman;Times;serif" w:hAnsi="Times New Roman;Times;serif"/>
          <w:sz w:val="20"/>
        </w:rPr>
        <w:t>Net cash used in financing activities decreased by $1,649.5 million to $(4.1) million for the three months ended August 1, 2026, as compared to net cash provided by financing activities of $1,645.4 million for the three months ended August 2, 2025. The decrease in net cash provided by financing activities was primarily due to proceeds from issuance of common shares of $968.5 million, net of underwriter costs and proceeds from the issuance of Notes of $726.9 million, net of underwriter costs in the prior year. Part of the proceeds were used to repay the outstanding balances of the Fourth Amendment Term Loan Facility and Revolving Facility drawn in conjunction with the acquisition of BlueHalo.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77" w:name="ITEM3_QUANTITATIVEANDQUALITATIVE_021302"/>
      <w:bookmarkStart w:id="1378" w:name="ITEM3QUANTITATIVEANDQUALITATIVE_695044"/>
      <w:bookmarkStart w:id="1379" w:name="_4bad1080_e7f2_4272_aebd_63e8989baa89"/>
      <w:bookmarkEnd w:id="1377"/>
      <w:bookmarkEnd w:id="1378"/>
      <w:bookmarkEnd w:id="1379"/>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business, we are exposed to various market risk factors, including fluctuations in interest rates, changes in general economic conditions, domestic and foreign competition, and foreign currency exchange rates. For a discussion of market risks as of April 30, 2026, refer to Item 7A in our 2026 annual report on Form 10-K. During the three months ended August 1, 2026, there were no material changes or developments that would materially alter the market risk assessment performed as of April 30, 2026, except as discussed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2025, we issued $747.5 million of Notes. The Notes have a zero percent coupon rate. We used the proceeds from the Notes Offering as well as the Common Stock Offering to repay indebtedness under our Fourth Amendment Term Loan Facility and outstanding borrowings under the Revolving Facility. The Revolving Facility has no current outstanding balance</w:t>
      </w:r>
      <w:r>
        <w:rPr>
          <w:rFonts w:ascii="Times New Roman;Times;serif" w:hAnsi="Times New Roman;Times;serif"/>
          <w:sz w:val="20"/>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80" w:name="ITEM4CONTROLSANDPROCEDURES_613247"/>
      <w:bookmarkStart w:id="1381" w:name="ITEM4_CONTROLSANDPROCEDURES_021320"/>
      <w:bookmarkStart w:id="1382" w:name="_30b4c086_3b55_4be8_9f32_8bd43e4f949f"/>
      <w:bookmarkEnd w:id="1380"/>
      <w:bookmarkEnd w:id="1381"/>
      <w:bookmarkEnd w:id="1382"/>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Based on this assessment, and in light of the material weaknesses identified in our internal control over financial reporting as disclosed in our Form 10-K for the fiscal year ended April 30, 2026, our Chief Executive Officer and Chief Financial Officer concluded that our disclosure controls and procedures were not effective as of August 1, 2026, due to the material weaknesses in internal control over financial reporting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Notwithstanding the material weaknesses described below, management has concluded that the financial statements included in this Quarterly Report present fairly, in all material respects, our financial position, results of operations and cash flows in conformity with U.S. GAAP.</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Material Weaknesses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identified a material weakness in controls over the financial close and reporting process as a result of the BlueHalo acquisition. BlueHalo did not design and maintain effective information technology (“IT”) general controls for certain information systems that are relevant to information used the preparation of BlueHalo’s financial reporting that is included in the consolidated financial statements of AeroVironment. Specifically, BlueHalo did not design and maintain user access controls to ensure appropriate segregation of duties and to adequately restrict user and privileged access to appropriate personnel. As a result, the automated controls and IT dependent manual business process controls that rely upon BlueHalo’s financial reporting information from the affected applications were deemed not effective.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we determined that the error resulting in the restatement of our unaudited condensed consolidated financial statements for the quarter ended January 31, 2026 in the Amendment No. 1 on Form 10-Q/A, filed with the SEC on June 22, 2026, originated from a material weakness. The material weakness relates to the design of controls over the preparation and review of our goodwill impairment analysis. Specifically, we did not have a properly designed control requiring preparation and review of a reconciliation of goodwill by reporting unit.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Remediation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the date of this report, management’s remediation efforts are ongoing, and management has committed to a remediation plan to address the material weaknesses noted above. The remediation plan includes, but is not limited to, the following activities which have been performed or are in process:</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material weakness related to information technology general controls over BlueHalo’s financial reporting, we have designed and implemented enhancements to user access and program change management controls, including restricting administrator-level access, performing periodic user access reviews, and formalizing change management and data modification processes through documented and approved workflows.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material weakness related to design of controls over the preparation and review of our goodwill impairment analysis, we have implemented a control over the preparation and review of a quarterly reconciliation of goodwill by reporting unit.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Remedial controls must operate for a sufficient period of time for a definitive conclusion, through testing, that the deficiencies have been remediated and, as such, management can give no assurance that the measures it has undertaken have remediated the material weaknesses that it has identified or that additional material weakness will not arise in the future. Management will continue to monitor the effectiveness of these and other processes, procedures, and controls and will make any further changes that management determines to be appropriate.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for the ongoing remediation activities related to the material weaknesses described above, there were no changes in our internal control over financial reporting or in other factors identified in connection with the evaluation required by paragraph (d) of Rules 13a-15 or 15d-15 under the Exchange Act that occurred during the quarter ended August 1, 2026 that have materially affected, or are reasonably likely to materially affect, our internal control over financial reporting (as defined in Rules 13a-15(f) and 15d-15(f) under the Exchange Act).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383" w:name="PARTII_OTHERINFORMATION_030839"/>
      <w:bookmarkStart w:id="1384" w:name="PARTIIOTHERINFORMATION_857105"/>
      <w:bookmarkStart w:id="1385" w:name="_f0d03dfb_802d_4254_9ab5_32abb9b8039c"/>
      <w:bookmarkEnd w:id="1383"/>
      <w:bookmarkEnd w:id="1384"/>
      <w:bookmarkEnd w:id="1385"/>
      <w:r>
        <w:rPr>
          <w:rFonts w:ascii="Times New Roman;Times;serif" w:hAnsi="Times New Roman;Times;serif"/>
          <w:b/>
          <w:sz w:val="20"/>
        </w:rPr>
        <w:t>PART II.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86" w:name="ITEM1LEGALPROCEEDINGS_982987"/>
      <w:bookmarkStart w:id="1387" w:name="ITEM1_LEGALPROCEEDINGS_030840"/>
      <w:bookmarkEnd w:id="1386"/>
      <w:bookmarkEnd w:id="1387"/>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Securities Class Actions and Related Derivative 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May 26, 2026, a securities class action complaint was filed in the U.S. District Court for the Eastern District of Virginia by Eric Norrell naming AeroVironment; Wahid Nawabi, our President and CEO; Kevin McDonnell, our former Executive Vice President and Chief Financial Officer; and Mary Clum, President of our Space, Cyber &amp; Directed Energy segment, as defendants. See Norell v. AeroVironment, Inc., No. 1:26-cv-01429 (E.D. Va.). The complaint asserts violations of Sections 10(b) and 20(a) of the Exchange Act, and Rule 10b-5 promulgated thereunder, claiming that the defendants made false and materially misleading statements regarding our work for the U.S. Space Force’s SCAR program. The plaintiff seeks to represent a proposed class of all persons who purchased or otherwise acquired our common stock during the period June 25, 2025 through March 10, 2026. The complaint seeks a jury trial and unspecified compensatory damages, interest, and attorneys’ fees and other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17, 2026, a second securities class action complaint was filed in the U.S. District Court for the District of Delaware by the City Pension Fund for Firefighters and Police officers in the City of Miami Beach naming AeroVironment, Mr. Nawabi, Mr. McDonnell, and Ms. Clum as defendants. See City Pension Fund for Firefighters and Police officers in the City of Miami Beach v. AeroVironment, Inc., No. 1:26-cv-00875 (D. Del). The complaint asserts violations of Sections 10(b) and 20(a) of the Exchange Act and Rule 10b-5 promulgated thereunder, arising from substantially the same factual allegations that form the basis of the Norell class action complaint described above. The plaintiff seeks to represent a proposed class of all persons who purchased or otherwise acquired our common stock during the period June 24, 2025 through June 18, 2026, inclusive. The complaint seeks a jury trial and unspecified compensatory damages, interest, and attorneys’ fees and other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27, 2026, a purported stockholder of the company, Keith Rogers, filed a derivative action in the U.S. District Court of the Eastern District of Virginia on behalf of AeroVironment against Mr. Nawabi, Mr. McDonnell, Ms. Clum and members of our Board of Directors who were serving as of April 30, 2026, and AeroVironment as a nominal defendant. The derivative action alleges various claims, including breach of fiduciary duty, unjust enrichment, abuse of control, gross mismanagement, waste of corporate assets, and violations of Section 14(a) of the Exchange Act, as well as violations of Section 10(b) and 21D of the Exchange Act arising from substantially the same factual allegations that form the basis of the securities class action lawsuits described above. The action seeks monetary relief in favor of the company from the defendants, as well as various equitable relief requests and plaintiff’s costs and expenses of the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second derivative action was filed against the Company on July 30, 2026 in the U.S. District Court of the Eastern District of Virginia by another purported stockholder, Brandon Jackson, against the same defendants as in the Rogers derivative action described above. This derivative action alleges breaches of fiduciary duties and violations of Section 14(a) of the Exchange Act arising from substantially the same factual allegations that form the basis of the securities class action lawsuits described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intends to vigorously defend the securities class actions and derivative lawsuits.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Labor &amp; Employment Class Action and PAGA Action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The parties participated in a mediation session on May 8, 2025, but did not reach a resolution during the session.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The parties stipulated to stay this PAGA case ahead of the mediation in the class action matter listed in the immediately preceding paragraph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June 11, 2025, the parties reached an agreement in principle to settle all claims in the class action complaint and PAGA complaint pursuant to a mediator’s proposal made on such a date by the mediator from the May 8, 2025 class action mediation session. A court must approve the terms of the settlement before we will pay any amounts pursuant to the settlement. The estimated settlement was accrued in our consolidated statements of income(loss) for the year ended April 30, 2025. We are currently working with the plaintiff to seek preliminary approval of the settlement.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bookmarkStart w:id="1388" w:name="ITEM1A_RISKFACTORS_030841"/>
      <w:bookmarkStart w:id="1389" w:name="_d893863f_3b19_46a2_b462_4e6195796428"/>
      <w:bookmarkEnd w:id="1388"/>
      <w:bookmarkEnd w:id="1389"/>
      <w:r>
        <w:rPr>
          <w:rFonts w:ascii="Times New Roman;Times;serif" w:hAnsi="Times New Roman;Times;serif"/>
          <w:b/>
          <w:sz w:val="20"/>
        </w:rPr>
        <w:t>ITEM 1A. RISK FACTORS</w:t>
      </w:r>
    </w:p>
    <w:p>
      <w:pPr>
        <w:pStyle w:val="TextBody"/>
        <w:bidi w:val="0"/>
        <w:spacing w:before="0" w:after="120"/>
        <w:ind w:left="0" w:right="0" w:hanging="0"/>
        <w:jc w:val="left"/>
        <w:rPr>
          <w:rFonts w:ascii="Times New Roman;Times;serif" w:hAnsi="Times New Roman;Times;serif"/>
          <w:b w:val="false"/>
          <w:sz w:val="20"/>
        </w:rPr>
      </w:pPr>
      <w:r>
        <w:rPr>
          <w:rFonts w:ascii="Times New Roman;Times;serif" w:hAnsi="Times New Roman;Times;serif"/>
          <w:b w:val="false"/>
          <w:sz w:val="20"/>
        </w:rPr>
        <w:t>There have been no material changes to the risk factors disclosed under Part I, Item 1A, “Risk Factors,” of our Annual Report on Form 10-K for the fiscal year ended April 30, 2026. Please refer to that section for disclosures regarding the risks and uncertainties related to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90" w:name="ITEM2_UNREGISTEREDSALESOFEQUITYS_030842"/>
      <w:bookmarkStart w:id="1391" w:name="_acdc908d_f69b_4885_8e73_798f3285a348"/>
      <w:bookmarkEnd w:id="1390"/>
      <w:bookmarkEnd w:id="1391"/>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92" w:name="ITEM3_DEFAULTSUPONSENIORSECURITI_030843"/>
      <w:bookmarkStart w:id="1393" w:name="_e848fe19_9db6_46c8_962a_651ef3e82a78"/>
      <w:bookmarkEnd w:id="1392"/>
      <w:bookmarkEnd w:id="1393"/>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94" w:name="ITEM4_MINESAFETYDISCLOSURES_030844"/>
      <w:bookmarkStart w:id="1395" w:name="_c5d5f998_5fcf_4a4b_8f3f_3ee984dbd169"/>
      <w:bookmarkEnd w:id="1394"/>
      <w:bookmarkEnd w:id="1395"/>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96" w:name="_888a2bce_50fc_4e0b_a85f_18725a3f3c4d"/>
      <w:bookmarkStart w:id="1397" w:name="ITEM5_OTHERINFORMATION_030845"/>
      <w:bookmarkEnd w:id="1396"/>
      <w:bookmarkEnd w:id="1397"/>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Trading Plan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 of our directors or officers informed us of the adoption or termination of a “Rule 10b5-1 trading arrangement” or “non-Rule 10b5-1 trading arrangement,” as those terms are defined in Regulation S-K, Item 408 during the three-month period ended August 1, 2026.</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98" w:name="ITEM6_EXHIBITS_030846"/>
      <w:bookmarkStart w:id="1399" w:name="_0f73194b_5ac6_44fa_bafc_722442a5bf53"/>
      <w:bookmarkEnd w:id="1398"/>
      <w:bookmarkEnd w:id="1399"/>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832"/>
        <w:gridCol w:w="346"/>
        <w:gridCol w:w="9027"/>
      </w:tblGrid>
      <w:tr>
        <w:trPr/>
        <w:tc>
          <w:tcPr>
            <w:tcW w:w="83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46" w:type="dxa"/>
            <w:tcBorders>
              <w:bottom w:val="single" w:sz="2" w:space="0" w:color="000000"/>
            </w:tcBorders>
            <w:vAlign w:val="center"/>
          </w:tcPr>
          <w:p>
            <w:pPr>
              <w:pStyle w:val="TableContents"/>
              <w:bidi w:val="0"/>
              <w:spacing w:before="0" w:after="0"/>
              <w:ind w:left="0" w:right="0" w:hanging="0"/>
              <w:jc w:val="center"/>
              <w:rPr/>
            </w:pPr>
            <w:r>
              <w:rPr/>
              <w:t>  ​ ​ ​</w:t>
            </w:r>
          </w:p>
        </w:tc>
        <w:tc>
          <w:tcPr>
            <w:tcW w:w="902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AeroVironment, Inc. (incorporated by reference herein to Exhibit 3.1 to the Company’s Current Report on Form 8-K filed with the SEC on October 3, 2024)</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Sixth Amended and Restated Bylaws of AeroVironment, Inc., amended as of November 20, 2025. (incorporated by reference herein to Exhibit 3.1 to the Company’s Current Report on Form 8-K filed with the SEC on November 25, 2025)</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Indenture, dated as of July 3, 2025, between AeroVironment, Inc. and U.S. Bank Trust Company, National Association, as trustee (incorporated by reference to Exhibit 4.1 to the Company’s Current Report on Form 8-K filed with the SEC on July 3, 2025)</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First Supplemental Indenture, dated as of July 3, 2025, between AeroVironment, Inc. and U.S. Bank Trust Company, National Association, as trustee (incorporated by reference to Exhibit 4.2 to the Company’s Current Report on Form 8-K filed with the SEC on July 3, 2025)</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w:anchor="avav-20260801xex31d1.htm">
              <w:r>
                <w:rPr>
                  <w:rStyle w:val="InternetLink"/>
                  <w:rFonts w:ascii="Times New Roman;Times;serif" w:hAnsi="Times New Roman;Times;serif"/>
                  <w:b w:val="false"/>
                  <w:i w:val="false"/>
                  <w:caps w:val="false"/>
                  <w:smallCaps w:val="false"/>
                  <w:sz w:val="20"/>
                </w:rPr>
                <w:t>Certification of Chief Executive Officer pursuant to Rule 13a-14(a) and Rule 15d-14(a) of the Securities Exchange Act of 1934, as amended.</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w:anchor="avav-20260801xex31d2.htm">
              <w:r>
                <w:rPr>
                  <w:rStyle w:val="InternetLink"/>
                  <w:rFonts w:ascii="Times New Roman;Times;serif" w:hAnsi="Times New Roman;Times;serif"/>
                  <w:b w:val="false"/>
                  <w:i w:val="false"/>
                  <w:caps w:val="false"/>
                  <w:smallCaps w:val="false"/>
                  <w:sz w:val="20"/>
                </w:rPr>
                <w:t>Certification of Chief Financial Officer pursuant to Rule 13a-14(a) and Rule 15d-14(a) of the Securities Exchange Act of 1934, as amended.</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pPr>
            <w:hyperlink w:anchor="avav-20260801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Files because its XBRL tags are embedded within the Inline XBRL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32"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2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Filed herewith.</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400" w:name="SIGNATURES_030848"/>
      <w:bookmarkStart w:id="1401" w:name="_d97684de_6ba1_40bb_bed4_79ca6c356b43"/>
      <w:bookmarkEnd w:id="1400"/>
      <w:bookmarkEnd w:id="1401"/>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963" w:type="dxa"/>
        <w:jc w:val="left"/>
        <w:tblInd w:w="0" w:type="dxa"/>
        <w:tblLayout w:type="fixed"/>
        <w:tblCellMar>
          <w:top w:w="0" w:type="dxa"/>
          <w:left w:w="0" w:type="dxa"/>
          <w:bottom w:w="0" w:type="dxa"/>
          <w:right w:w="0" w:type="dxa"/>
        </w:tblCellMar>
      </w:tblPr>
      <w:tblGrid>
        <w:gridCol w:w="2116"/>
        <w:gridCol w:w="406"/>
        <w:gridCol w:w="4441"/>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4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11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AEROVIRONMENT, INC.</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pPr>
            <w:r>
              <w:rPr/>
              <w:t>​</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pPr>
            <w:r>
              <w:rPr/>
              <w:t>​</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Sean T. Woodward</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Sean T. Woodward</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pPr>
            <w:r>
              <w:rPr/>
              <w:t>​</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Brian C. Shackley</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top w:val="single" w:sz="2" w:space="0" w:color="000000"/>
            </w:tcBorders>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Brian C. Shackley</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Accounting Officer</w:t>
            </w:r>
          </w:p>
        </w:tc>
      </w:tr>
      <w:tr>
        <w:trPr/>
        <w:tc>
          <w:tcPr>
            <w:tcW w:w="2116"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4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0"/>
        <w:ind w:left="0" w:right="0" w:hanging="0"/>
        <w:jc w:val="right"/>
        <w:rPr>
          <w:rFonts w:ascii="Times New Roman;Times;serif" w:hAnsi="Times New Roman;Times;serif"/>
          <w:b/>
          <w:sz w:val="20"/>
        </w:rPr>
      </w:pPr>
      <w:bookmarkStart w:id="1402" w:name="avav-20260801xex31d1.htm"/>
      <w:bookmarkStart w:id="1403" w:name="ksavav20260801xex31d1"/>
      <w:bookmarkEnd w:id="1402"/>
      <w:bookmarkEnd w:id="1403"/>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 Wahid Nawabi, certify that:</w:t>
      </w:r>
    </w:p>
    <w:p>
      <w:pPr>
        <w:pStyle w:val="TextBody"/>
        <w:bidi w:val="0"/>
        <w:spacing w:lineRule="auto" w:line="285" w:before="0" w:after="0"/>
        <w:ind w:left="0" w:right="0" w:hanging="0"/>
        <w:jc w:val="left"/>
        <w:rPr/>
      </w:pPr>
      <w:r>
        <w:rPr/>
        <w:t>​</w:t>
      </w:r>
    </w:p>
    <w:tbl>
      <w:tblPr>
        <w:tblW w:w="6250" w:type="dxa"/>
        <w:jc w:val="left"/>
        <w:tblInd w:w="0" w:type="dxa"/>
        <w:tblLayout w:type="fixed"/>
        <w:tblCellMar>
          <w:top w:w="0" w:type="dxa"/>
          <w:left w:w="0" w:type="dxa"/>
          <w:bottom w:w="0" w:type="dxa"/>
          <w:right w:w="0" w:type="dxa"/>
        </w:tblCellMar>
      </w:tblPr>
      <w:tblGrid>
        <w:gridCol w:w="170"/>
        <w:gridCol w:w="6080"/>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AeroVironment,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6212" w:type="dxa"/>
        <w:jc w:val="center"/>
        <w:tblInd w:w="0" w:type="dxa"/>
        <w:tblLayout w:type="fixed"/>
        <w:tblCellMar>
          <w:top w:w="0" w:type="dxa"/>
          <w:left w:w="0" w:type="dxa"/>
          <w:bottom w:w="0" w:type="dxa"/>
          <w:right w:w="0" w:type="dxa"/>
        </w:tblCellMar>
      </w:tblPr>
      <w:tblGrid>
        <w:gridCol w:w="2116"/>
        <w:gridCol w:w="4096"/>
      </w:tblGrid>
      <w:tr>
        <w:trPr/>
        <w:tc>
          <w:tcPr>
            <w:tcW w:w="211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2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0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04" w:name="avav-20260801xex31d2.htm"/>
      <w:bookmarkStart w:id="1405" w:name="ksavav20260801xex31d2"/>
      <w:bookmarkEnd w:id="1404"/>
      <w:bookmarkEnd w:id="1405"/>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 Sean T. Woodward, certify that:</w:t>
      </w:r>
    </w:p>
    <w:p>
      <w:pPr>
        <w:pStyle w:val="TextBody"/>
        <w:bidi w:val="0"/>
        <w:spacing w:lineRule="auto" w:line="285" w:before="0" w:after="0"/>
        <w:ind w:left="0" w:right="0" w:hanging="0"/>
        <w:jc w:val="left"/>
        <w:rPr/>
      </w:pPr>
      <w:r>
        <w:rPr/>
        <w:t>​</w:t>
      </w:r>
    </w:p>
    <w:tbl>
      <w:tblPr>
        <w:tblW w:w="6273" w:type="dxa"/>
        <w:jc w:val="left"/>
        <w:tblInd w:w="0" w:type="dxa"/>
        <w:tblLayout w:type="fixed"/>
        <w:tblCellMar>
          <w:top w:w="0" w:type="dxa"/>
          <w:left w:w="0" w:type="dxa"/>
          <w:bottom w:w="0" w:type="dxa"/>
          <w:right w:w="0" w:type="dxa"/>
        </w:tblCellMar>
      </w:tblPr>
      <w:tblGrid>
        <w:gridCol w:w="23"/>
        <w:gridCol w:w="17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AeroVironment,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6557" w:type="dxa"/>
        <w:jc w:val="left"/>
        <w:tblInd w:w="0" w:type="dxa"/>
        <w:tblLayout w:type="fixed"/>
        <w:tblCellMar>
          <w:top w:w="0" w:type="dxa"/>
          <w:left w:w="0" w:type="dxa"/>
          <w:bottom w:w="0" w:type="dxa"/>
          <w:right w:w="0" w:type="dxa"/>
        </w:tblCellMar>
      </w:tblPr>
      <w:tblGrid>
        <w:gridCol w:w="2116"/>
        <w:gridCol w:w="4441"/>
      </w:tblGrid>
      <w:tr>
        <w:trPr/>
        <w:tc>
          <w:tcPr>
            <w:tcW w:w="211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211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Sean T. Woodward </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Sean T. Woodward</w:t>
            </w:r>
          </w:p>
        </w:tc>
      </w:tr>
      <w:tr>
        <w:trPr/>
        <w:tc>
          <w:tcPr>
            <w:tcW w:w="2116"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06" w:name="avav-20260801xex32.htm"/>
      <w:bookmarkStart w:id="1407" w:name="ksavav20260801xex32"/>
      <w:bookmarkEnd w:id="1406"/>
      <w:bookmarkEnd w:id="1407"/>
      <w:r>
        <w:rPr>
          <w:rFonts w:ascii="Times New Roman;Times;serif" w:hAnsi="Times New Roman;Times;serif"/>
          <w:b/>
          <w:sz w:val="20"/>
        </w:rPr>
        <w:t>Exhibit 32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(Subsections (a) and (b) of Section 1350, Chapter 63 of Title 18, United States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The Quarterly Report on Form 10-Q for the quarter ended August 1, 2026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6662" w:type="dxa"/>
        <w:jc w:val="left"/>
        <w:tblInd w:w="0" w:type="dxa"/>
        <w:tblLayout w:type="fixed"/>
        <w:tblCellMar>
          <w:top w:w="0" w:type="dxa"/>
          <w:left w:w="0" w:type="dxa"/>
          <w:bottom w:w="0" w:type="dxa"/>
          <w:right w:w="0" w:type="dxa"/>
        </w:tblCellMar>
      </w:tblPr>
      <w:tblGrid>
        <w:gridCol w:w="2221"/>
        <w:gridCol w:w="4441"/>
      </w:tblGrid>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Sean T. Woodward</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Sean T. Woodward</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r>
      <w:tr>
        <w:trPr/>
        <w:tc>
          <w:tcPr>
            <w:tcW w:w="2221" w:type="dxa"/>
            <w:tcBorders/>
            <w:vAlign w:val="center"/>
          </w:tcPr>
          <w:p>
            <w:pPr>
              <w:pStyle w:val="TableContents"/>
              <w:bidi w:val="0"/>
              <w:spacing w:lineRule="auto" w:line="285" w:before="0" w:after="0"/>
              <w:ind w:left="0" w:right="0" w:hanging="0"/>
              <w:jc w:val="left"/>
              <w:rPr/>
            </w:pPr>
            <w:r>
              <w:rPr/>
              <w:t>​</w:t>
            </w:r>
          </w:p>
        </w:tc>
        <w:tc>
          <w:tcPr>
            <w:tcW w:w="4441" w:type="dxa"/>
            <w:tcBorders/>
            <w:vAlign w:val="center"/>
          </w:tcPr>
          <w:p>
            <w:pPr>
              <w:pStyle w:val="TableContents"/>
              <w:bidi w:val="0"/>
              <w:spacing w:lineRule="auto" w:line="285" w:before="0" w:after="0"/>
              <w:ind w:left="0" w:right="0" w:hanging="0"/>
              <w:jc w:val="left"/>
              <w:rPr/>
            </w:pPr>
            <w:r>
              <w:rPr/>
              <w:t>​</w:t>
            </w:r>
          </w:p>
        </w:tc>
      </w:tr>
      <w:tr>
        <w:trPr/>
        <w:tc>
          <w:tcPr>
            <w:tcW w:w="22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September 9, 2026</w:t>
            </w:r>
          </w:p>
        </w:tc>
        <w:tc>
          <w:tcPr>
            <w:tcW w:w="444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8622/000110465924105632/tm2425465d1_ex3-1.htm" TargetMode="External"/><Relationship Id="rId3" Type="http://schemas.openxmlformats.org/officeDocument/2006/relationships/hyperlink" Target="https://www.sec.gov/Archives/edgar/data/1368622/000110465925115756/tm2532104d1_ex3-1.htm" TargetMode="External"/><Relationship Id="rId4" Type="http://schemas.openxmlformats.org/officeDocument/2006/relationships/hyperlink" Target="https://www.sec.gov/Archives/edgar/data/1368622/000110465925065778/tm2519048d11_ex4-1.htm" TargetMode="External"/><Relationship Id="rId5" Type="http://schemas.openxmlformats.org/officeDocument/2006/relationships/hyperlink" Target="https://www.sec.gov/Archives/edgar/data/1368622/000110465925065778/tm2519048d11_ex4-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20912</Words>
  <Characters>117297</Characters>
  <CharactersWithSpaces>139979</CharactersWithSpaces>
  <Paragraphs>5838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